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DD4" w:rsidRPr="008B303E" w:rsidRDefault="00071DD4" w:rsidP="007B4483">
      <w:pPr>
        <w:spacing w:after="0" w:line="360" w:lineRule="auto"/>
        <w:jc w:val="both"/>
        <w:rPr>
          <w:rFonts w:ascii="Palatino Linotype" w:hAnsi="Palatino Linotype" w:cs="Tahoma"/>
          <w:b/>
          <w:sz w:val="24"/>
          <w:szCs w:val="24"/>
        </w:rPr>
      </w:pPr>
      <w:r w:rsidRPr="008B303E">
        <w:rPr>
          <w:rFonts w:ascii="Palatino Linotype" w:hAnsi="Palatino Linotype" w:cs="Tahoma"/>
          <w:b/>
          <w:sz w:val="24"/>
          <w:szCs w:val="24"/>
        </w:rPr>
        <w:t>VOTO PARTICULAR QUE FORMULA EL COMISIONADO LUIS GUSTAVO PARRA NORIEGA, EN RELACIÓN CON LA RESOLUCIÓN DEL RECURSO DE REVISIÓN 03</w:t>
      </w:r>
      <w:r w:rsidR="006B59E0">
        <w:rPr>
          <w:rFonts w:ascii="Palatino Linotype" w:hAnsi="Palatino Linotype" w:cs="Tahoma"/>
          <w:b/>
          <w:sz w:val="24"/>
          <w:szCs w:val="24"/>
        </w:rPr>
        <w:t>303</w:t>
      </w:r>
      <w:r w:rsidRPr="008B303E">
        <w:rPr>
          <w:rFonts w:ascii="Palatino Linotype" w:hAnsi="Palatino Linotype" w:cs="Tahoma"/>
          <w:b/>
          <w:bCs/>
          <w:sz w:val="24"/>
          <w:szCs w:val="24"/>
        </w:rPr>
        <w:t xml:space="preserve">/INFOEM/IP/RR/2018 </w:t>
      </w:r>
      <w:r w:rsidR="006812A4">
        <w:rPr>
          <w:rFonts w:ascii="Palatino Linotype" w:hAnsi="Palatino Linotype" w:cs="Tahoma"/>
          <w:b/>
          <w:bCs/>
          <w:sz w:val="24"/>
          <w:szCs w:val="24"/>
        </w:rPr>
        <w:t xml:space="preserve">Y ACUMULADOS </w:t>
      </w:r>
      <w:r w:rsidRPr="008B303E">
        <w:rPr>
          <w:rFonts w:ascii="Palatino Linotype" w:hAnsi="Palatino Linotype" w:cs="Tahoma"/>
          <w:b/>
          <w:sz w:val="24"/>
          <w:szCs w:val="24"/>
        </w:rPr>
        <w:t>EN CONTRA DE</w:t>
      </w:r>
      <w:r w:rsidR="006B59E0">
        <w:rPr>
          <w:rFonts w:ascii="Palatino Linotype" w:hAnsi="Palatino Linotype" w:cs="Tahoma"/>
          <w:b/>
          <w:sz w:val="24"/>
          <w:szCs w:val="24"/>
        </w:rPr>
        <w:t xml:space="preserve"> LA UNIVERSIDAD POLITÉCNICA DEL VALLE DE TOLUCA.</w:t>
      </w:r>
    </w:p>
    <w:p w:rsidR="00071DD4" w:rsidRPr="008B303E" w:rsidRDefault="00071DD4" w:rsidP="007B4483">
      <w:pPr>
        <w:spacing w:after="0" w:line="360" w:lineRule="auto"/>
        <w:jc w:val="both"/>
        <w:rPr>
          <w:rFonts w:ascii="Palatino Linotype" w:hAnsi="Palatino Linotype" w:cs="Tahoma"/>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8B303E">
        <w:rPr>
          <w:rFonts w:ascii="Palatino Linotype" w:hAnsi="Palatino Linotype" w:cs="Tahoma"/>
          <w:b/>
          <w:sz w:val="24"/>
          <w:szCs w:val="24"/>
        </w:rPr>
        <w:t>Voto Particular</w:t>
      </w:r>
      <w:r w:rsidRPr="008B303E">
        <w:rPr>
          <w:rFonts w:ascii="Palatino Linotype" w:hAnsi="Palatino Linotype" w:cs="Tahoma"/>
          <w:sz w:val="24"/>
          <w:szCs w:val="24"/>
        </w:rPr>
        <w:t xml:space="preserve"> por no compartir en su totalidad las consideraciones que sustentan la Resolución del Recurso de Revisión 03</w:t>
      </w:r>
      <w:r w:rsidR="00F86F4C">
        <w:rPr>
          <w:rFonts w:ascii="Palatino Linotype" w:hAnsi="Palatino Linotype" w:cs="Tahoma"/>
          <w:sz w:val="24"/>
          <w:szCs w:val="24"/>
        </w:rPr>
        <w:t>303</w:t>
      </w:r>
      <w:r w:rsidRPr="008B303E">
        <w:rPr>
          <w:rFonts w:ascii="Palatino Linotype" w:hAnsi="Palatino Linotype" w:cs="Tahoma"/>
          <w:bCs/>
          <w:sz w:val="24"/>
          <w:szCs w:val="24"/>
        </w:rPr>
        <w:t>/INFOEM/IP/RR/201</w:t>
      </w:r>
      <w:r w:rsidR="00F86F4C">
        <w:rPr>
          <w:rFonts w:ascii="Palatino Linotype" w:hAnsi="Palatino Linotype" w:cs="Tahoma"/>
          <w:bCs/>
          <w:sz w:val="24"/>
          <w:szCs w:val="24"/>
        </w:rPr>
        <w:t>8</w:t>
      </w:r>
      <w:r w:rsidR="006812A4">
        <w:rPr>
          <w:rFonts w:ascii="Palatino Linotype" w:hAnsi="Palatino Linotype" w:cs="Tahoma"/>
          <w:bCs/>
          <w:sz w:val="24"/>
          <w:szCs w:val="24"/>
        </w:rPr>
        <w:t xml:space="preserve"> y acumulados</w:t>
      </w:r>
      <w:r w:rsidR="00F86F4C">
        <w:rPr>
          <w:rFonts w:ascii="Palatino Linotype" w:hAnsi="Palatino Linotype" w:cs="Tahoma"/>
          <w:bCs/>
          <w:sz w:val="24"/>
          <w:szCs w:val="24"/>
        </w:rPr>
        <w:t>.</w:t>
      </w:r>
    </w:p>
    <w:p w:rsidR="00071DD4" w:rsidRPr="008B303E" w:rsidRDefault="00071DD4" w:rsidP="007B4483">
      <w:pPr>
        <w:spacing w:after="0" w:line="360" w:lineRule="auto"/>
        <w:jc w:val="both"/>
        <w:rPr>
          <w:rFonts w:ascii="Palatino Linotype" w:hAnsi="Palatino Linotype" w:cs="Tahoma"/>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Como se advierte en los antecedentes de la resolución del recurso de revisión que nos ocupa, el particular requirió conocer en cada una de sus solicitudes, lo siguiente:</w:t>
      </w:r>
    </w:p>
    <w:p w:rsidR="00071DD4" w:rsidRPr="00AF0152" w:rsidRDefault="00071DD4" w:rsidP="007B4483">
      <w:pPr>
        <w:spacing w:after="0" w:line="360" w:lineRule="auto"/>
        <w:ind w:left="567" w:right="567"/>
        <w:jc w:val="both"/>
        <w:rPr>
          <w:rFonts w:ascii="Palatino Linotype" w:hAnsi="Palatino Linotype" w:cs="Tahoma"/>
          <w:sz w:val="20"/>
          <w:szCs w:val="20"/>
        </w:rPr>
      </w:pPr>
    </w:p>
    <w:p w:rsidR="00AF0152" w:rsidRPr="00AF0152" w:rsidRDefault="00AF0152" w:rsidP="007B4483">
      <w:pPr>
        <w:pStyle w:val="Prrafodelista"/>
        <w:numPr>
          <w:ilvl w:val="0"/>
          <w:numId w:val="3"/>
        </w:numPr>
        <w:spacing w:after="0" w:line="360" w:lineRule="auto"/>
        <w:ind w:left="567" w:right="567"/>
        <w:jc w:val="both"/>
        <w:rPr>
          <w:rFonts w:ascii="Palatino Linotype" w:eastAsia="Calibri" w:hAnsi="Palatino Linotype" w:cs="Arial"/>
          <w:i/>
          <w:sz w:val="20"/>
          <w:szCs w:val="20"/>
        </w:rPr>
      </w:pPr>
      <w:r w:rsidRPr="00AF0152">
        <w:rPr>
          <w:rFonts w:ascii="Palatino Linotype" w:hAnsi="Palatino Linotype"/>
          <w:b/>
          <w:sz w:val="20"/>
          <w:szCs w:val="20"/>
        </w:rPr>
        <w:t>00797/UPVT/IP/2018</w:t>
      </w:r>
    </w:p>
    <w:p w:rsidR="00AF0152" w:rsidRDefault="00AF0152" w:rsidP="007B4483">
      <w:pPr>
        <w:spacing w:after="240" w:line="360" w:lineRule="auto"/>
        <w:ind w:left="567" w:right="567"/>
        <w:jc w:val="both"/>
        <w:rPr>
          <w:rFonts w:ascii="Palatino Linotype" w:eastAsia="Calibri" w:hAnsi="Palatino Linotype" w:cs="Arial"/>
          <w:i/>
          <w:sz w:val="20"/>
          <w:szCs w:val="20"/>
        </w:rPr>
      </w:pPr>
      <w:r w:rsidRPr="00AF0152">
        <w:rPr>
          <w:rFonts w:ascii="Palatino Linotype" w:eastAsia="Calibri" w:hAnsi="Palatino Linotype" w:cs="Arial"/>
          <w:i/>
          <w:sz w:val="20"/>
          <w:szCs w:val="20"/>
        </w:rPr>
        <w:t xml:space="preserve">“Formato, oficio o documento dirigido al servidor público correspondiente para la asignación de equipo de </w:t>
      </w:r>
      <w:proofErr w:type="spellStart"/>
      <w:r w:rsidRPr="00AF0152">
        <w:rPr>
          <w:rFonts w:ascii="Palatino Linotype" w:eastAsia="Calibri" w:hAnsi="Palatino Linotype" w:cs="Arial"/>
          <w:i/>
          <w:sz w:val="20"/>
          <w:szCs w:val="20"/>
        </w:rPr>
        <w:t>computo</w:t>
      </w:r>
      <w:proofErr w:type="spellEnd"/>
      <w:r w:rsidRPr="00AF0152">
        <w:rPr>
          <w:rFonts w:ascii="Palatino Linotype" w:eastAsia="Calibri" w:hAnsi="Palatino Linotype" w:cs="Arial"/>
          <w:i/>
          <w:sz w:val="20"/>
          <w:szCs w:val="20"/>
        </w:rPr>
        <w:t xml:space="preserve"> en 2007 y el acuse o </w:t>
      </w:r>
      <w:proofErr w:type="spellStart"/>
      <w:r w:rsidRPr="00AF0152">
        <w:rPr>
          <w:rFonts w:ascii="Palatino Linotype" w:eastAsia="Calibri" w:hAnsi="Palatino Linotype" w:cs="Arial"/>
          <w:i/>
          <w:sz w:val="20"/>
          <w:szCs w:val="20"/>
        </w:rPr>
        <w:t>dumento</w:t>
      </w:r>
      <w:proofErr w:type="spellEnd"/>
      <w:r w:rsidRPr="00AF0152">
        <w:rPr>
          <w:rFonts w:ascii="Palatino Linotype" w:eastAsia="Calibri" w:hAnsi="Palatino Linotype" w:cs="Arial"/>
          <w:i/>
          <w:sz w:val="20"/>
          <w:szCs w:val="20"/>
        </w:rPr>
        <w:t xml:space="preserve"> que avale la recepción del equipo por el mismo servidor público” (sic)</w:t>
      </w:r>
    </w:p>
    <w:p w:rsidR="007B4483" w:rsidRPr="00AF0152" w:rsidRDefault="007B4483" w:rsidP="007B4483">
      <w:pPr>
        <w:spacing w:after="240" w:line="360" w:lineRule="auto"/>
        <w:ind w:left="567" w:right="567"/>
        <w:jc w:val="both"/>
        <w:rPr>
          <w:rFonts w:ascii="Palatino Linotype" w:eastAsia="Calibri" w:hAnsi="Palatino Linotype" w:cs="Arial"/>
          <w:i/>
          <w:sz w:val="20"/>
          <w:szCs w:val="20"/>
        </w:rPr>
      </w:pPr>
    </w:p>
    <w:p w:rsidR="00AF0152" w:rsidRPr="00AF0152" w:rsidRDefault="00AF0152" w:rsidP="007B4483">
      <w:pPr>
        <w:pStyle w:val="Prrafodelista"/>
        <w:numPr>
          <w:ilvl w:val="0"/>
          <w:numId w:val="3"/>
        </w:numPr>
        <w:spacing w:after="0" w:line="360" w:lineRule="auto"/>
        <w:ind w:left="567" w:right="567"/>
        <w:jc w:val="both"/>
        <w:rPr>
          <w:rFonts w:ascii="Palatino Linotype" w:eastAsia="Calibri" w:hAnsi="Palatino Linotype" w:cs="Arial"/>
          <w:i/>
          <w:sz w:val="20"/>
          <w:szCs w:val="20"/>
        </w:rPr>
      </w:pPr>
      <w:r w:rsidRPr="00AF0152">
        <w:rPr>
          <w:rFonts w:ascii="Palatino Linotype" w:hAnsi="Palatino Linotype"/>
          <w:b/>
          <w:sz w:val="20"/>
          <w:szCs w:val="20"/>
        </w:rPr>
        <w:lastRenderedPageBreak/>
        <w:t xml:space="preserve">00798/UPVT/IP/2018 </w:t>
      </w:r>
    </w:p>
    <w:p w:rsidR="00AF0152" w:rsidRPr="00AF0152" w:rsidRDefault="00AF0152" w:rsidP="007B4483">
      <w:pPr>
        <w:spacing w:after="240" w:line="360" w:lineRule="auto"/>
        <w:ind w:left="567" w:right="567"/>
        <w:jc w:val="both"/>
        <w:rPr>
          <w:rFonts w:ascii="Palatino Linotype" w:eastAsia="Calibri" w:hAnsi="Palatino Linotype" w:cs="Arial"/>
          <w:i/>
          <w:sz w:val="20"/>
          <w:szCs w:val="20"/>
        </w:rPr>
      </w:pPr>
      <w:r w:rsidRPr="00AF0152">
        <w:rPr>
          <w:rFonts w:ascii="Palatino Linotype" w:eastAsia="Calibri" w:hAnsi="Palatino Linotype" w:cs="Arial"/>
          <w:i/>
          <w:sz w:val="20"/>
          <w:szCs w:val="20"/>
        </w:rPr>
        <w:t xml:space="preserve">“Formato, oficio o documento dirigido al servidor público correspondiente para la asignación de equipo de </w:t>
      </w:r>
      <w:proofErr w:type="spellStart"/>
      <w:r w:rsidRPr="00AF0152">
        <w:rPr>
          <w:rFonts w:ascii="Palatino Linotype" w:eastAsia="Calibri" w:hAnsi="Palatino Linotype" w:cs="Arial"/>
          <w:i/>
          <w:sz w:val="20"/>
          <w:szCs w:val="20"/>
        </w:rPr>
        <w:t>computo</w:t>
      </w:r>
      <w:proofErr w:type="spellEnd"/>
      <w:r w:rsidRPr="00AF0152">
        <w:rPr>
          <w:rFonts w:ascii="Palatino Linotype" w:eastAsia="Calibri" w:hAnsi="Palatino Linotype" w:cs="Arial"/>
          <w:i/>
          <w:sz w:val="20"/>
          <w:szCs w:val="20"/>
        </w:rPr>
        <w:t xml:space="preserve"> en 200 y el acuse o </w:t>
      </w:r>
      <w:proofErr w:type="spellStart"/>
      <w:r w:rsidRPr="00AF0152">
        <w:rPr>
          <w:rFonts w:ascii="Palatino Linotype" w:eastAsia="Calibri" w:hAnsi="Palatino Linotype" w:cs="Arial"/>
          <w:i/>
          <w:sz w:val="20"/>
          <w:szCs w:val="20"/>
        </w:rPr>
        <w:t>dumento</w:t>
      </w:r>
      <w:proofErr w:type="spellEnd"/>
      <w:r w:rsidRPr="00AF0152">
        <w:rPr>
          <w:rFonts w:ascii="Palatino Linotype" w:eastAsia="Calibri" w:hAnsi="Palatino Linotype" w:cs="Arial"/>
          <w:i/>
          <w:sz w:val="20"/>
          <w:szCs w:val="20"/>
        </w:rPr>
        <w:t xml:space="preserve"> que avale la recepción del equipo por el mismo servidor público” (sic)</w:t>
      </w:r>
    </w:p>
    <w:p w:rsidR="00AF0152" w:rsidRPr="00AF0152" w:rsidRDefault="00AF0152" w:rsidP="007B4483">
      <w:pPr>
        <w:pStyle w:val="Prrafodelista"/>
        <w:numPr>
          <w:ilvl w:val="0"/>
          <w:numId w:val="3"/>
        </w:numPr>
        <w:spacing w:after="0" w:line="360" w:lineRule="auto"/>
        <w:ind w:left="567" w:right="567"/>
        <w:jc w:val="both"/>
        <w:rPr>
          <w:rFonts w:ascii="Palatino Linotype" w:eastAsia="Calibri" w:hAnsi="Palatino Linotype" w:cs="Arial"/>
          <w:i/>
          <w:sz w:val="20"/>
          <w:szCs w:val="20"/>
        </w:rPr>
      </w:pPr>
      <w:r w:rsidRPr="00AF0152">
        <w:rPr>
          <w:rFonts w:ascii="Palatino Linotype" w:hAnsi="Palatino Linotype"/>
          <w:b/>
          <w:sz w:val="20"/>
          <w:szCs w:val="20"/>
        </w:rPr>
        <w:t xml:space="preserve">00799/UPVT/IP/2018 </w:t>
      </w:r>
    </w:p>
    <w:p w:rsidR="00AF0152" w:rsidRPr="00AF0152" w:rsidRDefault="00AF0152" w:rsidP="007B4483">
      <w:pPr>
        <w:spacing w:after="240" w:line="360" w:lineRule="auto"/>
        <w:ind w:left="567" w:right="567"/>
        <w:jc w:val="both"/>
        <w:rPr>
          <w:rFonts w:ascii="Palatino Linotype" w:eastAsia="Calibri" w:hAnsi="Palatino Linotype" w:cs="Arial"/>
          <w:i/>
          <w:sz w:val="20"/>
          <w:szCs w:val="20"/>
        </w:rPr>
      </w:pPr>
      <w:r w:rsidRPr="00AF0152">
        <w:rPr>
          <w:rFonts w:ascii="Palatino Linotype" w:eastAsia="Calibri" w:hAnsi="Palatino Linotype" w:cs="Arial"/>
          <w:i/>
          <w:sz w:val="20"/>
          <w:szCs w:val="20"/>
        </w:rPr>
        <w:t xml:space="preserve">“Formato, oficio o documento dirigido al servidor público correspondiente para la asignación de equipo de </w:t>
      </w:r>
      <w:proofErr w:type="spellStart"/>
      <w:r w:rsidRPr="00AF0152">
        <w:rPr>
          <w:rFonts w:ascii="Palatino Linotype" w:eastAsia="Calibri" w:hAnsi="Palatino Linotype" w:cs="Arial"/>
          <w:i/>
          <w:sz w:val="20"/>
          <w:szCs w:val="20"/>
        </w:rPr>
        <w:t>computo</w:t>
      </w:r>
      <w:proofErr w:type="spellEnd"/>
      <w:r w:rsidRPr="00AF0152">
        <w:rPr>
          <w:rFonts w:ascii="Palatino Linotype" w:eastAsia="Calibri" w:hAnsi="Palatino Linotype" w:cs="Arial"/>
          <w:i/>
          <w:sz w:val="20"/>
          <w:szCs w:val="20"/>
        </w:rPr>
        <w:t xml:space="preserve"> en 2009 y el acuse o </w:t>
      </w:r>
      <w:proofErr w:type="spellStart"/>
      <w:r w:rsidRPr="00AF0152">
        <w:rPr>
          <w:rFonts w:ascii="Palatino Linotype" w:eastAsia="Calibri" w:hAnsi="Palatino Linotype" w:cs="Arial"/>
          <w:i/>
          <w:sz w:val="20"/>
          <w:szCs w:val="20"/>
        </w:rPr>
        <w:t>dumento</w:t>
      </w:r>
      <w:proofErr w:type="spellEnd"/>
      <w:r w:rsidRPr="00AF0152">
        <w:rPr>
          <w:rFonts w:ascii="Palatino Linotype" w:eastAsia="Calibri" w:hAnsi="Palatino Linotype" w:cs="Arial"/>
          <w:i/>
          <w:sz w:val="20"/>
          <w:szCs w:val="20"/>
        </w:rPr>
        <w:t xml:space="preserve"> que avale la recepción del equipo por el mismo servidor público” (sic)</w:t>
      </w:r>
    </w:p>
    <w:p w:rsidR="00AF0152" w:rsidRPr="00AF0152" w:rsidRDefault="00AF0152" w:rsidP="007B4483">
      <w:pPr>
        <w:pStyle w:val="Prrafodelista"/>
        <w:numPr>
          <w:ilvl w:val="0"/>
          <w:numId w:val="3"/>
        </w:numPr>
        <w:spacing w:after="0" w:line="360" w:lineRule="auto"/>
        <w:ind w:left="567" w:right="567"/>
        <w:jc w:val="both"/>
        <w:rPr>
          <w:rFonts w:ascii="Palatino Linotype" w:eastAsia="Calibri" w:hAnsi="Palatino Linotype" w:cs="Arial"/>
          <w:i/>
          <w:sz w:val="20"/>
          <w:szCs w:val="20"/>
        </w:rPr>
      </w:pPr>
      <w:r w:rsidRPr="00AF0152">
        <w:rPr>
          <w:rFonts w:ascii="Palatino Linotype" w:hAnsi="Palatino Linotype"/>
          <w:b/>
          <w:sz w:val="20"/>
          <w:szCs w:val="20"/>
        </w:rPr>
        <w:t xml:space="preserve">00800/UPVT/IP/2018 </w:t>
      </w:r>
    </w:p>
    <w:p w:rsidR="00AF0152" w:rsidRPr="00AF0152" w:rsidRDefault="00AF0152" w:rsidP="007B4483">
      <w:pPr>
        <w:spacing w:after="240" w:line="360" w:lineRule="auto"/>
        <w:ind w:left="567" w:right="567"/>
        <w:jc w:val="both"/>
        <w:rPr>
          <w:rFonts w:ascii="Palatino Linotype" w:eastAsia="Calibri" w:hAnsi="Palatino Linotype" w:cs="Arial"/>
          <w:i/>
          <w:sz w:val="20"/>
          <w:szCs w:val="20"/>
        </w:rPr>
      </w:pPr>
      <w:r w:rsidRPr="00AF0152">
        <w:rPr>
          <w:rFonts w:ascii="Palatino Linotype" w:eastAsia="Calibri" w:hAnsi="Palatino Linotype" w:cs="Arial"/>
          <w:i/>
          <w:sz w:val="20"/>
          <w:szCs w:val="20"/>
        </w:rPr>
        <w:t xml:space="preserve">“Formato, oficio o documento dirigido al servidor público correspondiente para la asignación de equipo de </w:t>
      </w:r>
      <w:proofErr w:type="spellStart"/>
      <w:r w:rsidRPr="00AF0152">
        <w:rPr>
          <w:rFonts w:ascii="Palatino Linotype" w:eastAsia="Calibri" w:hAnsi="Palatino Linotype" w:cs="Arial"/>
          <w:i/>
          <w:sz w:val="20"/>
          <w:szCs w:val="20"/>
        </w:rPr>
        <w:t>computo</w:t>
      </w:r>
      <w:proofErr w:type="spellEnd"/>
      <w:r w:rsidRPr="00AF0152">
        <w:rPr>
          <w:rFonts w:ascii="Palatino Linotype" w:eastAsia="Calibri" w:hAnsi="Palatino Linotype" w:cs="Arial"/>
          <w:i/>
          <w:sz w:val="20"/>
          <w:szCs w:val="20"/>
        </w:rPr>
        <w:t xml:space="preserve"> en 2010 y el acuse o </w:t>
      </w:r>
      <w:proofErr w:type="spellStart"/>
      <w:r w:rsidRPr="00AF0152">
        <w:rPr>
          <w:rFonts w:ascii="Palatino Linotype" w:eastAsia="Calibri" w:hAnsi="Palatino Linotype" w:cs="Arial"/>
          <w:i/>
          <w:sz w:val="20"/>
          <w:szCs w:val="20"/>
        </w:rPr>
        <w:t>dumento</w:t>
      </w:r>
      <w:proofErr w:type="spellEnd"/>
      <w:r w:rsidRPr="00AF0152">
        <w:rPr>
          <w:rFonts w:ascii="Palatino Linotype" w:eastAsia="Calibri" w:hAnsi="Palatino Linotype" w:cs="Arial"/>
          <w:i/>
          <w:sz w:val="20"/>
          <w:szCs w:val="20"/>
        </w:rPr>
        <w:t xml:space="preserve"> que avale la recepción del equipo por el mismo servidor público” (sic)</w:t>
      </w:r>
    </w:p>
    <w:p w:rsidR="00AF0152" w:rsidRPr="00AF0152" w:rsidRDefault="00AF0152" w:rsidP="007B4483">
      <w:pPr>
        <w:pStyle w:val="Prrafodelista"/>
        <w:numPr>
          <w:ilvl w:val="0"/>
          <w:numId w:val="3"/>
        </w:numPr>
        <w:spacing w:after="0" w:line="360" w:lineRule="auto"/>
        <w:ind w:left="567" w:right="567"/>
        <w:jc w:val="both"/>
        <w:rPr>
          <w:rFonts w:ascii="Palatino Linotype" w:eastAsia="Calibri" w:hAnsi="Palatino Linotype" w:cs="Arial"/>
          <w:i/>
          <w:sz w:val="20"/>
          <w:szCs w:val="20"/>
        </w:rPr>
      </w:pPr>
      <w:r w:rsidRPr="00AF0152">
        <w:rPr>
          <w:rFonts w:ascii="Palatino Linotype" w:hAnsi="Palatino Linotype"/>
          <w:b/>
          <w:sz w:val="20"/>
          <w:szCs w:val="20"/>
        </w:rPr>
        <w:t xml:space="preserve">00801/UPVT/IP/2018 </w:t>
      </w:r>
    </w:p>
    <w:p w:rsidR="00AF0152" w:rsidRPr="00AF0152" w:rsidRDefault="00AF0152" w:rsidP="007B4483">
      <w:pPr>
        <w:spacing w:line="360" w:lineRule="auto"/>
        <w:ind w:left="567" w:right="567"/>
        <w:jc w:val="both"/>
        <w:rPr>
          <w:rFonts w:ascii="Palatino Linotype" w:eastAsia="Calibri" w:hAnsi="Palatino Linotype" w:cs="Arial"/>
          <w:i/>
          <w:sz w:val="20"/>
          <w:szCs w:val="20"/>
        </w:rPr>
      </w:pPr>
      <w:r w:rsidRPr="00AF0152">
        <w:rPr>
          <w:rFonts w:ascii="Palatino Linotype" w:eastAsia="Calibri" w:hAnsi="Palatino Linotype" w:cs="Arial"/>
          <w:i/>
          <w:sz w:val="20"/>
          <w:szCs w:val="20"/>
        </w:rPr>
        <w:t xml:space="preserve">“Formato, oficio o documento dirigido al servidor público correspondiente para la asignación de equipo de </w:t>
      </w:r>
      <w:proofErr w:type="spellStart"/>
      <w:r w:rsidRPr="00AF0152">
        <w:rPr>
          <w:rFonts w:ascii="Palatino Linotype" w:eastAsia="Calibri" w:hAnsi="Palatino Linotype" w:cs="Arial"/>
          <w:i/>
          <w:sz w:val="20"/>
          <w:szCs w:val="20"/>
        </w:rPr>
        <w:t>computo</w:t>
      </w:r>
      <w:proofErr w:type="spellEnd"/>
      <w:r w:rsidRPr="00AF0152">
        <w:rPr>
          <w:rFonts w:ascii="Palatino Linotype" w:eastAsia="Calibri" w:hAnsi="Palatino Linotype" w:cs="Arial"/>
          <w:i/>
          <w:sz w:val="20"/>
          <w:szCs w:val="20"/>
        </w:rPr>
        <w:t xml:space="preserve"> en 2011 y el acuse o </w:t>
      </w:r>
      <w:proofErr w:type="spellStart"/>
      <w:r w:rsidRPr="00AF0152">
        <w:rPr>
          <w:rFonts w:ascii="Palatino Linotype" w:eastAsia="Calibri" w:hAnsi="Palatino Linotype" w:cs="Arial"/>
          <w:i/>
          <w:sz w:val="20"/>
          <w:szCs w:val="20"/>
        </w:rPr>
        <w:t>dumento</w:t>
      </w:r>
      <w:proofErr w:type="spellEnd"/>
      <w:r w:rsidRPr="00AF0152">
        <w:rPr>
          <w:rFonts w:ascii="Palatino Linotype" w:eastAsia="Calibri" w:hAnsi="Palatino Linotype" w:cs="Arial"/>
          <w:i/>
          <w:sz w:val="20"/>
          <w:szCs w:val="20"/>
        </w:rPr>
        <w:t xml:space="preserve"> que avale la recepción del equipo por el mismo servidor público” (sic)</w:t>
      </w:r>
    </w:p>
    <w:p w:rsidR="00AF0152" w:rsidRPr="00AF0152" w:rsidRDefault="00AF0152" w:rsidP="007B4483">
      <w:pPr>
        <w:pStyle w:val="Prrafodelista"/>
        <w:numPr>
          <w:ilvl w:val="0"/>
          <w:numId w:val="3"/>
        </w:numPr>
        <w:spacing w:after="0" w:line="360" w:lineRule="auto"/>
        <w:ind w:left="567" w:right="567"/>
        <w:jc w:val="both"/>
        <w:rPr>
          <w:rFonts w:ascii="Palatino Linotype" w:eastAsia="Calibri" w:hAnsi="Palatino Linotype" w:cs="Arial"/>
          <w:i/>
          <w:sz w:val="20"/>
          <w:szCs w:val="20"/>
        </w:rPr>
      </w:pPr>
      <w:r w:rsidRPr="00AF0152">
        <w:rPr>
          <w:rFonts w:ascii="Palatino Linotype" w:hAnsi="Palatino Linotype"/>
          <w:b/>
          <w:sz w:val="20"/>
          <w:szCs w:val="20"/>
        </w:rPr>
        <w:t xml:space="preserve">00802/UPVT/IP/2018 </w:t>
      </w:r>
    </w:p>
    <w:p w:rsidR="00AF0152" w:rsidRPr="00AF0152" w:rsidRDefault="00AF0152" w:rsidP="007B4483">
      <w:pPr>
        <w:spacing w:after="240" w:line="360" w:lineRule="auto"/>
        <w:ind w:left="567" w:right="567"/>
        <w:jc w:val="both"/>
        <w:rPr>
          <w:rFonts w:ascii="Palatino Linotype" w:eastAsia="Calibri" w:hAnsi="Palatino Linotype" w:cs="Arial"/>
          <w:i/>
          <w:sz w:val="20"/>
          <w:szCs w:val="20"/>
        </w:rPr>
      </w:pPr>
      <w:r w:rsidRPr="00AF0152">
        <w:rPr>
          <w:rFonts w:ascii="Palatino Linotype" w:eastAsia="Calibri" w:hAnsi="Palatino Linotype" w:cs="Arial"/>
          <w:i/>
          <w:sz w:val="20"/>
          <w:szCs w:val="20"/>
        </w:rPr>
        <w:t xml:space="preserve">“Formato, oficio o documento dirigido al servidor público correspondiente para la asignación de equipo de </w:t>
      </w:r>
      <w:proofErr w:type="spellStart"/>
      <w:r w:rsidRPr="00AF0152">
        <w:rPr>
          <w:rFonts w:ascii="Palatino Linotype" w:eastAsia="Calibri" w:hAnsi="Palatino Linotype" w:cs="Arial"/>
          <w:i/>
          <w:sz w:val="20"/>
          <w:szCs w:val="20"/>
        </w:rPr>
        <w:t>computo</w:t>
      </w:r>
      <w:proofErr w:type="spellEnd"/>
      <w:r w:rsidRPr="00AF0152">
        <w:rPr>
          <w:rFonts w:ascii="Palatino Linotype" w:eastAsia="Calibri" w:hAnsi="Palatino Linotype" w:cs="Arial"/>
          <w:i/>
          <w:sz w:val="20"/>
          <w:szCs w:val="20"/>
        </w:rPr>
        <w:t xml:space="preserve"> en 2012 y el acuse o </w:t>
      </w:r>
      <w:proofErr w:type="spellStart"/>
      <w:r w:rsidRPr="00AF0152">
        <w:rPr>
          <w:rFonts w:ascii="Palatino Linotype" w:eastAsia="Calibri" w:hAnsi="Palatino Linotype" w:cs="Arial"/>
          <w:i/>
          <w:sz w:val="20"/>
          <w:szCs w:val="20"/>
        </w:rPr>
        <w:t>dumento</w:t>
      </w:r>
      <w:proofErr w:type="spellEnd"/>
      <w:r w:rsidRPr="00AF0152">
        <w:rPr>
          <w:rFonts w:ascii="Palatino Linotype" w:eastAsia="Calibri" w:hAnsi="Palatino Linotype" w:cs="Arial"/>
          <w:i/>
          <w:sz w:val="20"/>
          <w:szCs w:val="20"/>
        </w:rPr>
        <w:t xml:space="preserve"> que avale la recepción del equipo por el mismo servidor público” (sic)</w:t>
      </w:r>
    </w:p>
    <w:p w:rsidR="00AF0152" w:rsidRPr="00AF0152" w:rsidRDefault="00AF0152" w:rsidP="007B4483">
      <w:pPr>
        <w:pStyle w:val="Prrafodelista"/>
        <w:numPr>
          <w:ilvl w:val="0"/>
          <w:numId w:val="3"/>
        </w:numPr>
        <w:spacing w:after="0" w:line="360" w:lineRule="auto"/>
        <w:ind w:left="567" w:right="567"/>
        <w:jc w:val="both"/>
        <w:rPr>
          <w:rFonts w:ascii="Palatino Linotype" w:eastAsia="Calibri" w:hAnsi="Palatino Linotype" w:cs="Arial"/>
          <w:i/>
          <w:sz w:val="20"/>
          <w:szCs w:val="20"/>
        </w:rPr>
      </w:pPr>
      <w:r w:rsidRPr="00AF0152">
        <w:rPr>
          <w:rFonts w:ascii="Palatino Linotype" w:hAnsi="Palatino Linotype"/>
          <w:b/>
          <w:sz w:val="20"/>
          <w:szCs w:val="20"/>
        </w:rPr>
        <w:t xml:space="preserve">00803/UPVT/IP/2018 </w:t>
      </w:r>
    </w:p>
    <w:p w:rsidR="00AF0152" w:rsidRDefault="00AF0152" w:rsidP="007B4483">
      <w:pPr>
        <w:spacing w:after="240" w:line="360" w:lineRule="auto"/>
        <w:ind w:left="567" w:right="567"/>
        <w:jc w:val="both"/>
        <w:rPr>
          <w:rFonts w:ascii="Palatino Linotype" w:eastAsia="Calibri" w:hAnsi="Palatino Linotype" w:cs="Arial"/>
          <w:i/>
          <w:sz w:val="20"/>
          <w:szCs w:val="20"/>
        </w:rPr>
      </w:pPr>
      <w:r w:rsidRPr="00AF0152">
        <w:rPr>
          <w:rFonts w:ascii="Palatino Linotype" w:eastAsia="Calibri" w:hAnsi="Palatino Linotype" w:cs="Arial"/>
          <w:i/>
          <w:sz w:val="20"/>
          <w:szCs w:val="20"/>
        </w:rPr>
        <w:t xml:space="preserve">“Formato, oficio o documento dirigido al servidor público correspondiente para la asignación de equipo de </w:t>
      </w:r>
      <w:proofErr w:type="spellStart"/>
      <w:r w:rsidRPr="00AF0152">
        <w:rPr>
          <w:rFonts w:ascii="Palatino Linotype" w:eastAsia="Calibri" w:hAnsi="Palatino Linotype" w:cs="Arial"/>
          <w:i/>
          <w:sz w:val="20"/>
          <w:szCs w:val="20"/>
        </w:rPr>
        <w:t>computo</w:t>
      </w:r>
      <w:proofErr w:type="spellEnd"/>
      <w:r w:rsidRPr="00AF0152">
        <w:rPr>
          <w:rFonts w:ascii="Palatino Linotype" w:eastAsia="Calibri" w:hAnsi="Palatino Linotype" w:cs="Arial"/>
          <w:i/>
          <w:sz w:val="20"/>
          <w:szCs w:val="20"/>
        </w:rPr>
        <w:t xml:space="preserve"> en 2013 y el acuse o </w:t>
      </w:r>
      <w:proofErr w:type="spellStart"/>
      <w:r w:rsidRPr="00AF0152">
        <w:rPr>
          <w:rFonts w:ascii="Palatino Linotype" w:eastAsia="Calibri" w:hAnsi="Palatino Linotype" w:cs="Arial"/>
          <w:i/>
          <w:sz w:val="20"/>
          <w:szCs w:val="20"/>
        </w:rPr>
        <w:t>dumento</w:t>
      </w:r>
      <w:proofErr w:type="spellEnd"/>
      <w:r w:rsidRPr="00AF0152">
        <w:rPr>
          <w:rFonts w:ascii="Palatino Linotype" w:eastAsia="Calibri" w:hAnsi="Palatino Linotype" w:cs="Arial"/>
          <w:i/>
          <w:sz w:val="20"/>
          <w:szCs w:val="20"/>
        </w:rPr>
        <w:t xml:space="preserve"> que avale la recepción del equipo por el mismo servidor público” (sic)</w:t>
      </w:r>
    </w:p>
    <w:p w:rsidR="007B4483" w:rsidRPr="00AF0152" w:rsidRDefault="007B4483" w:rsidP="007B4483">
      <w:pPr>
        <w:spacing w:after="240" w:line="360" w:lineRule="auto"/>
        <w:ind w:left="567" w:right="567"/>
        <w:jc w:val="both"/>
        <w:rPr>
          <w:rFonts w:ascii="Palatino Linotype" w:eastAsia="Calibri" w:hAnsi="Palatino Linotype" w:cs="Arial"/>
          <w:i/>
          <w:sz w:val="20"/>
          <w:szCs w:val="20"/>
        </w:rPr>
      </w:pPr>
    </w:p>
    <w:p w:rsidR="00AF0152" w:rsidRPr="00AF0152" w:rsidRDefault="00AF0152" w:rsidP="007B4483">
      <w:pPr>
        <w:pStyle w:val="Prrafodelista"/>
        <w:numPr>
          <w:ilvl w:val="0"/>
          <w:numId w:val="3"/>
        </w:numPr>
        <w:spacing w:after="0" w:line="360" w:lineRule="auto"/>
        <w:ind w:left="567" w:right="567"/>
        <w:jc w:val="both"/>
        <w:rPr>
          <w:rFonts w:ascii="Palatino Linotype" w:eastAsia="Calibri" w:hAnsi="Palatino Linotype" w:cs="Arial"/>
          <w:i/>
          <w:sz w:val="20"/>
          <w:szCs w:val="20"/>
        </w:rPr>
      </w:pPr>
      <w:r w:rsidRPr="00AF0152">
        <w:rPr>
          <w:rFonts w:ascii="Palatino Linotype" w:hAnsi="Palatino Linotype"/>
          <w:b/>
          <w:sz w:val="20"/>
          <w:szCs w:val="20"/>
        </w:rPr>
        <w:lastRenderedPageBreak/>
        <w:t xml:space="preserve">00804/UPVT/IP/2018 </w:t>
      </w:r>
    </w:p>
    <w:p w:rsidR="00AF0152" w:rsidRPr="00AF0152" w:rsidRDefault="00AF0152" w:rsidP="007B4483">
      <w:pPr>
        <w:spacing w:after="240" w:line="360" w:lineRule="auto"/>
        <w:ind w:left="567" w:right="567"/>
        <w:jc w:val="both"/>
        <w:rPr>
          <w:rFonts w:ascii="Palatino Linotype" w:eastAsia="Calibri" w:hAnsi="Palatino Linotype" w:cs="Arial"/>
          <w:i/>
          <w:sz w:val="20"/>
          <w:szCs w:val="20"/>
        </w:rPr>
      </w:pPr>
      <w:r w:rsidRPr="00AF0152">
        <w:rPr>
          <w:rFonts w:ascii="Palatino Linotype" w:eastAsia="Calibri" w:hAnsi="Palatino Linotype" w:cs="Arial"/>
          <w:i/>
          <w:sz w:val="20"/>
          <w:szCs w:val="20"/>
        </w:rPr>
        <w:t xml:space="preserve">“Formato, oficio o documento dirigido al servidor público correspondiente para la asignación de equipo de </w:t>
      </w:r>
      <w:proofErr w:type="spellStart"/>
      <w:r w:rsidRPr="00AF0152">
        <w:rPr>
          <w:rFonts w:ascii="Palatino Linotype" w:eastAsia="Calibri" w:hAnsi="Palatino Linotype" w:cs="Arial"/>
          <w:i/>
          <w:sz w:val="20"/>
          <w:szCs w:val="20"/>
        </w:rPr>
        <w:t>computo</w:t>
      </w:r>
      <w:proofErr w:type="spellEnd"/>
      <w:r w:rsidRPr="00AF0152">
        <w:rPr>
          <w:rFonts w:ascii="Palatino Linotype" w:eastAsia="Calibri" w:hAnsi="Palatino Linotype" w:cs="Arial"/>
          <w:i/>
          <w:sz w:val="20"/>
          <w:szCs w:val="20"/>
        </w:rPr>
        <w:t xml:space="preserve"> en 2014 y el acuse o </w:t>
      </w:r>
      <w:proofErr w:type="spellStart"/>
      <w:r w:rsidRPr="00AF0152">
        <w:rPr>
          <w:rFonts w:ascii="Palatino Linotype" w:eastAsia="Calibri" w:hAnsi="Palatino Linotype" w:cs="Arial"/>
          <w:i/>
          <w:sz w:val="20"/>
          <w:szCs w:val="20"/>
        </w:rPr>
        <w:t>dumento</w:t>
      </w:r>
      <w:proofErr w:type="spellEnd"/>
      <w:r w:rsidRPr="00AF0152">
        <w:rPr>
          <w:rFonts w:ascii="Palatino Linotype" w:eastAsia="Calibri" w:hAnsi="Palatino Linotype" w:cs="Arial"/>
          <w:i/>
          <w:sz w:val="20"/>
          <w:szCs w:val="20"/>
        </w:rPr>
        <w:t xml:space="preserve"> que avale la recepción del equipo por el mismo servidor público” (sic)</w:t>
      </w:r>
    </w:p>
    <w:p w:rsidR="00AF0152" w:rsidRPr="00AF0152" w:rsidRDefault="00AF0152" w:rsidP="007B4483">
      <w:pPr>
        <w:pStyle w:val="Prrafodelista"/>
        <w:numPr>
          <w:ilvl w:val="0"/>
          <w:numId w:val="3"/>
        </w:numPr>
        <w:spacing w:after="0" w:line="360" w:lineRule="auto"/>
        <w:ind w:left="567" w:right="567"/>
        <w:jc w:val="both"/>
        <w:rPr>
          <w:rFonts w:ascii="Palatino Linotype" w:eastAsia="Calibri" w:hAnsi="Palatino Linotype" w:cs="Arial"/>
          <w:i/>
          <w:sz w:val="20"/>
          <w:szCs w:val="20"/>
        </w:rPr>
      </w:pPr>
      <w:r w:rsidRPr="00AF0152">
        <w:rPr>
          <w:rFonts w:ascii="Palatino Linotype" w:hAnsi="Palatino Linotype"/>
          <w:b/>
          <w:sz w:val="20"/>
          <w:szCs w:val="20"/>
        </w:rPr>
        <w:t xml:space="preserve">00805/UPVT/IP/2018 </w:t>
      </w:r>
    </w:p>
    <w:p w:rsidR="00AF0152" w:rsidRPr="00AF0152" w:rsidRDefault="00AF0152" w:rsidP="007B4483">
      <w:pPr>
        <w:spacing w:after="240" w:line="360" w:lineRule="auto"/>
        <w:ind w:left="567" w:right="567"/>
        <w:jc w:val="both"/>
        <w:rPr>
          <w:rFonts w:ascii="Palatino Linotype" w:eastAsia="Calibri" w:hAnsi="Palatino Linotype" w:cs="Arial"/>
          <w:i/>
          <w:sz w:val="20"/>
          <w:szCs w:val="20"/>
        </w:rPr>
      </w:pPr>
      <w:r w:rsidRPr="00AF0152">
        <w:rPr>
          <w:rFonts w:ascii="Palatino Linotype" w:eastAsia="Calibri" w:hAnsi="Palatino Linotype" w:cs="Arial"/>
          <w:i/>
          <w:sz w:val="20"/>
          <w:szCs w:val="20"/>
        </w:rPr>
        <w:t xml:space="preserve">“Formato, oficio o documento dirigido al servidor público correspondiente para la asignación de equipo de </w:t>
      </w:r>
      <w:proofErr w:type="spellStart"/>
      <w:r w:rsidRPr="00AF0152">
        <w:rPr>
          <w:rFonts w:ascii="Palatino Linotype" w:eastAsia="Calibri" w:hAnsi="Palatino Linotype" w:cs="Arial"/>
          <w:i/>
          <w:sz w:val="20"/>
          <w:szCs w:val="20"/>
        </w:rPr>
        <w:t>computo</w:t>
      </w:r>
      <w:proofErr w:type="spellEnd"/>
      <w:r w:rsidRPr="00AF0152">
        <w:rPr>
          <w:rFonts w:ascii="Palatino Linotype" w:eastAsia="Calibri" w:hAnsi="Palatino Linotype" w:cs="Arial"/>
          <w:i/>
          <w:sz w:val="20"/>
          <w:szCs w:val="20"/>
        </w:rPr>
        <w:t xml:space="preserve"> en 2015 y el acuse o </w:t>
      </w:r>
      <w:proofErr w:type="spellStart"/>
      <w:r w:rsidRPr="00AF0152">
        <w:rPr>
          <w:rFonts w:ascii="Palatino Linotype" w:eastAsia="Calibri" w:hAnsi="Palatino Linotype" w:cs="Arial"/>
          <w:i/>
          <w:sz w:val="20"/>
          <w:szCs w:val="20"/>
        </w:rPr>
        <w:t>dumento</w:t>
      </w:r>
      <w:proofErr w:type="spellEnd"/>
      <w:r w:rsidRPr="00AF0152">
        <w:rPr>
          <w:rFonts w:ascii="Palatino Linotype" w:eastAsia="Calibri" w:hAnsi="Palatino Linotype" w:cs="Arial"/>
          <w:i/>
          <w:sz w:val="20"/>
          <w:szCs w:val="20"/>
        </w:rPr>
        <w:t xml:space="preserve"> que avale la recepción del equipo por el mismo servidor público” (sic)</w:t>
      </w:r>
    </w:p>
    <w:p w:rsidR="00AF0152" w:rsidRPr="00AF0152" w:rsidRDefault="00AF0152" w:rsidP="007B4483">
      <w:pPr>
        <w:pStyle w:val="Prrafodelista"/>
        <w:numPr>
          <w:ilvl w:val="0"/>
          <w:numId w:val="3"/>
        </w:numPr>
        <w:spacing w:after="0" w:line="360" w:lineRule="auto"/>
        <w:ind w:left="567" w:right="567"/>
        <w:jc w:val="both"/>
        <w:rPr>
          <w:rFonts w:ascii="Palatino Linotype" w:eastAsia="Calibri" w:hAnsi="Palatino Linotype" w:cs="Arial"/>
          <w:i/>
          <w:sz w:val="20"/>
          <w:szCs w:val="20"/>
        </w:rPr>
      </w:pPr>
      <w:r w:rsidRPr="00AF0152">
        <w:rPr>
          <w:rFonts w:ascii="Palatino Linotype" w:hAnsi="Palatino Linotype"/>
          <w:b/>
          <w:sz w:val="20"/>
          <w:szCs w:val="20"/>
        </w:rPr>
        <w:t xml:space="preserve">00806/UPVT/IP/2018 </w:t>
      </w:r>
    </w:p>
    <w:p w:rsidR="00AF0152" w:rsidRPr="00AF0152" w:rsidRDefault="00AF0152" w:rsidP="007B4483">
      <w:pPr>
        <w:spacing w:after="240" w:line="360" w:lineRule="auto"/>
        <w:ind w:left="567" w:right="567"/>
        <w:jc w:val="both"/>
        <w:rPr>
          <w:rFonts w:ascii="Palatino Linotype" w:eastAsia="Calibri" w:hAnsi="Palatino Linotype" w:cs="Arial"/>
          <w:i/>
          <w:sz w:val="20"/>
          <w:szCs w:val="20"/>
        </w:rPr>
      </w:pPr>
      <w:r w:rsidRPr="00AF0152">
        <w:rPr>
          <w:rFonts w:ascii="Palatino Linotype" w:eastAsia="Calibri" w:hAnsi="Palatino Linotype" w:cs="Arial"/>
          <w:i/>
          <w:sz w:val="20"/>
          <w:szCs w:val="20"/>
        </w:rPr>
        <w:t xml:space="preserve">“Formato, oficio o documento dirigido al servidor público correspondiente para la asignación de equipo de </w:t>
      </w:r>
      <w:proofErr w:type="spellStart"/>
      <w:r w:rsidRPr="00AF0152">
        <w:rPr>
          <w:rFonts w:ascii="Palatino Linotype" w:eastAsia="Calibri" w:hAnsi="Palatino Linotype" w:cs="Arial"/>
          <w:i/>
          <w:sz w:val="20"/>
          <w:szCs w:val="20"/>
        </w:rPr>
        <w:t>computo</w:t>
      </w:r>
      <w:proofErr w:type="spellEnd"/>
      <w:r w:rsidRPr="00AF0152">
        <w:rPr>
          <w:rFonts w:ascii="Palatino Linotype" w:eastAsia="Calibri" w:hAnsi="Palatino Linotype" w:cs="Arial"/>
          <w:i/>
          <w:sz w:val="20"/>
          <w:szCs w:val="20"/>
        </w:rPr>
        <w:t xml:space="preserve"> en 2016 y el acuse o </w:t>
      </w:r>
      <w:proofErr w:type="spellStart"/>
      <w:r w:rsidRPr="00AF0152">
        <w:rPr>
          <w:rFonts w:ascii="Palatino Linotype" w:eastAsia="Calibri" w:hAnsi="Palatino Linotype" w:cs="Arial"/>
          <w:i/>
          <w:sz w:val="20"/>
          <w:szCs w:val="20"/>
        </w:rPr>
        <w:t>dumento</w:t>
      </w:r>
      <w:proofErr w:type="spellEnd"/>
      <w:r w:rsidRPr="00AF0152">
        <w:rPr>
          <w:rFonts w:ascii="Palatino Linotype" w:eastAsia="Calibri" w:hAnsi="Palatino Linotype" w:cs="Arial"/>
          <w:i/>
          <w:sz w:val="20"/>
          <w:szCs w:val="20"/>
        </w:rPr>
        <w:t xml:space="preserve"> que avale la recepción del equipo por el mismo servidor público” (sic)</w:t>
      </w:r>
    </w:p>
    <w:p w:rsidR="00AF0152" w:rsidRPr="00AF0152" w:rsidRDefault="00AF0152" w:rsidP="007B4483">
      <w:pPr>
        <w:pStyle w:val="Prrafodelista"/>
        <w:numPr>
          <w:ilvl w:val="0"/>
          <w:numId w:val="3"/>
        </w:numPr>
        <w:spacing w:after="0" w:line="360" w:lineRule="auto"/>
        <w:ind w:left="567" w:right="567"/>
        <w:jc w:val="both"/>
        <w:rPr>
          <w:rFonts w:ascii="Palatino Linotype" w:eastAsia="Calibri" w:hAnsi="Palatino Linotype" w:cs="Arial"/>
          <w:i/>
          <w:sz w:val="20"/>
          <w:szCs w:val="20"/>
        </w:rPr>
      </w:pPr>
      <w:r w:rsidRPr="00AF0152">
        <w:rPr>
          <w:rFonts w:ascii="Palatino Linotype" w:hAnsi="Palatino Linotype"/>
          <w:b/>
          <w:sz w:val="20"/>
          <w:szCs w:val="20"/>
        </w:rPr>
        <w:t xml:space="preserve">00807/UPVT/IP/2018 </w:t>
      </w:r>
    </w:p>
    <w:p w:rsidR="00AF0152" w:rsidRDefault="00AF0152" w:rsidP="007B4483">
      <w:pPr>
        <w:spacing w:after="240" w:line="360" w:lineRule="auto"/>
        <w:ind w:left="567" w:right="567"/>
        <w:jc w:val="both"/>
        <w:rPr>
          <w:rFonts w:ascii="Palatino Linotype" w:eastAsia="Calibri" w:hAnsi="Palatino Linotype" w:cs="Arial"/>
          <w:i/>
          <w:sz w:val="20"/>
          <w:szCs w:val="20"/>
        </w:rPr>
      </w:pPr>
      <w:r w:rsidRPr="00AF0152">
        <w:rPr>
          <w:rFonts w:ascii="Palatino Linotype" w:eastAsia="Calibri" w:hAnsi="Palatino Linotype" w:cs="Arial"/>
          <w:i/>
          <w:sz w:val="20"/>
          <w:szCs w:val="20"/>
        </w:rPr>
        <w:t xml:space="preserve">“Formato, oficio o documento dirigido al servidor público correspondiente para la asignación de equipo de </w:t>
      </w:r>
      <w:proofErr w:type="spellStart"/>
      <w:r w:rsidRPr="00AF0152">
        <w:rPr>
          <w:rFonts w:ascii="Palatino Linotype" w:eastAsia="Calibri" w:hAnsi="Palatino Linotype" w:cs="Arial"/>
          <w:i/>
          <w:sz w:val="20"/>
          <w:szCs w:val="20"/>
        </w:rPr>
        <w:t>computo</w:t>
      </w:r>
      <w:proofErr w:type="spellEnd"/>
      <w:r w:rsidRPr="00AF0152">
        <w:rPr>
          <w:rFonts w:ascii="Palatino Linotype" w:eastAsia="Calibri" w:hAnsi="Palatino Linotype" w:cs="Arial"/>
          <w:i/>
          <w:sz w:val="20"/>
          <w:szCs w:val="20"/>
        </w:rPr>
        <w:t xml:space="preserve"> en 2017 y el acuse o </w:t>
      </w:r>
      <w:proofErr w:type="spellStart"/>
      <w:r w:rsidRPr="00AF0152">
        <w:rPr>
          <w:rFonts w:ascii="Palatino Linotype" w:eastAsia="Calibri" w:hAnsi="Palatino Linotype" w:cs="Arial"/>
          <w:i/>
          <w:sz w:val="20"/>
          <w:szCs w:val="20"/>
        </w:rPr>
        <w:t>dumento</w:t>
      </w:r>
      <w:proofErr w:type="spellEnd"/>
      <w:r w:rsidRPr="00AF0152">
        <w:rPr>
          <w:rFonts w:ascii="Palatino Linotype" w:eastAsia="Calibri" w:hAnsi="Palatino Linotype" w:cs="Arial"/>
          <w:i/>
          <w:sz w:val="20"/>
          <w:szCs w:val="20"/>
        </w:rPr>
        <w:t xml:space="preserve"> que avale la recepción del equipo por el mismo servidor público” (sic)</w:t>
      </w:r>
    </w:p>
    <w:p w:rsidR="00AF0152" w:rsidRPr="00AF0152" w:rsidRDefault="00AF0152" w:rsidP="007B4483">
      <w:pPr>
        <w:pStyle w:val="Prrafodelista"/>
        <w:numPr>
          <w:ilvl w:val="0"/>
          <w:numId w:val="3"/>
        </w:numPr>
        <w:spacing w:after="0" w:line="360" w:lineRule="auto"/>
        <w:ind w:left="567" w:right="567"/>
        <w:jc w:val="both"/>
        <w:rPr>
          <w:rFonts w:ascii="Palatino Linotype" w:eastAsia="Calibri" w:hAnsi="Palatino Linotype" w:cs="Arial"/>
          <w:i/>
          <w:sz w:val="20"/>
          <w:szCs w:val="20"/>
        </w:rPr>
      </w:pPr>
      <w:r w:rsidRPr="00AF0152">
        <w:rPr>
          <w:rFonts w:ascii="Palatino Linotype" w:hAnsi="Palatino Linotype"/>
          <w:b/>
          <w:sz w:val="20"/>
          <w:szCs w:val="20"/>
        </w:rPr>
        <w:t xml:space="preserve">00808/UPVT/IP/2018 </w:t>
      </w:r>
    </w:p>
    <w:p w:rsidR="00AF0152" w:rsidRPr="00AF0152" w:rsidRDefault="00AF0152" w:rsidP="007B4483">
      <w:pPr>
        <w:spacing w:after="240" w:line="360" w:lineRule="auto"/>
        <w:ind w:left="567" w:right="567"/>
        <w:jc w:val="both"/>
        <w:rPr>
          <w:rFonts w:ascii="Palatino Linotype" w:eastAsia="Calibri" w:hAnsi="Palatino Linotype" w:cs="Arial"/>
          <w:i/>
          <w:sz w:val="20"/>
          <w:szCs w:val="20"/>
        </w:rPr>
      </w:pPr>
      <w:r w:rsidRPr="00AF0152">
        <w:rPr>
          <w:rFonts w:ascii="Palatino Linotype" w:eastAsia="Calibri" w:hAnsi="Palatino Linotype" w:cs="Arial"/>
          <w:i/>
          <w:sz w:val="20"/>
          <w:szCs w:val="20"/>
        </w:rPr>
        <w:t xml:space="preserve">“Formato, oficio o documento dirigido al servidor público correspondiente para la asignación de equipo de </w:t>
      </w:r>
      <w:proofErr w:type="spellStart"/>
      <w:r w:rsidRPr="00AF0152">
        <w:rPr>
          <w:rFonts w:ascii="Palatino Linotype" w:eastAsia="Calibri" w:hAnsi="Palatino Linotype" w:cs="Arial"/>
          <w:i/>
          <w:sz w:val="20"/>
          <w:szCs w:val="20"/>
        </w:rPr>
        <w:t>computo</w:t>
      </w:r>
      <w:proofErr w:type="spellEnd"/>
      <w:r w:rsidRPr="00AF0152">
        <w:rPr>
          <w:rFonts w:ascii="Palatino Linotype" w:eastAsia="Calibri" w:hAnsi="Palatino Linotype" w:cs="Arial"/>
          <w:i/>
          <w:sz w:val="20"/>
          <w:szCs w:val="20"/>
        </w:rPr>
        <w:t xml:space="preserve"> en lo que va de 2018 y el acuse o </w:t>
      </w:r>
      <w:proofErr w:type="spellStart"/>
      <w:r w:rsidRPr="00AF0152">
        <w:rPr>
          <w:rFonts w:ascii="Palatino Linotype" w:eastAsia="Calibri" w:hAnsi="Palatino Linotype" w:cs="Arial"/>
          <w:i/>
          <w:sz w:val="20"/>
          <w:szCs w:val="20"/>
        </w:rPr>
        <w:t>dumento</w:t>
      </w:r>
      <w:proofErr w:type="spellEnd"/>
      <w:r w:rsidRPr="00AF0152">
        <w:rPr>
          <w:rFonts w:ascii="Palatino Linotype" w:eastAsia="Calibri" w:hAnsi="Palatino Linotype" w:cs="Arial"/>
          <w:i/>
          <w:sz w:val="20"/>
          <w:szCs w:val="20"/>
        </w:rPr>
        <w:t xml:space="preserve"> que avale la recepción del equipo por el mismo servidor público” (sic)</w:t>
      </w:r>
    </w:p>
    <w:p w:rsidR="00AF0152"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 xml:space="preserve">En </w:t>
      </w:r>
      <w:r w:rsidR="00AF0152">
        <w:rPr>
          <w:rFonts w:ascii="Palatino Linotype" w:hAnsi="Palatino Linotype" w:cs="Tahoma"/>
          <w:sz w:val="24"/>
          <w:szCs w:val="24"/>
        </w:rPr>
        <w:t>atención a la solicitud el Sujeto Obligado entregó diversos documentos; sin embargo, el particular interpuso recurso de revisión en el siguiente sentido:</w:t>
      </w:r>
    </w:p>
    <w:p w:rsidR="00AF0152" w:rsidRDefault="00AF0152" w:rsidP="007B4483">
      <w:pPr>
        <w:spacing w:after="0" w:line="360" w:lineRule="auto"/>
        <w:jc w:val="both"/>
        <w:rPr>
          <w:rFonts w:ascii="Palatino Linotype" w:hAnsi="Palatino Linotype" w:cs="Tahoma"/>
          <w:sz w:val="24"/>
          <w:szCs w:val="24"/>
        </w:rPr>
      </w:pPr>
    </w:p>
    <w:p w:rsidR="00AF0152" w:rsidRPr="00AF0152" w:rsidRDefault="00AF0152" w:rsidP="007B4483">
      <w:pPr>
        <w:pStyle w:val="Prrafodelista"/>
        <w:spacing w:line="360" w:lineRule="auto"/>
        <w:ind w:left="567" w:right="567"/>
        <w:jc w:val="both"/>
        <w:rPr>
          <w:rFonts w:ascii="Palatino Linotype" w:hAnsi="Palatino Linotype" w:cs="Arial"/>
          <w:sz w:val="20"/>
          <w:szCs w:val="20"/>
        </w:rPr>
      </w:pPr>
      <w:r w:rsidRPr="00AF0152">
        <w:rPr>
          <w:rFonts w:ascii="Palatino Linotype" w:hAnsi="Palatino Linotype"/>
          <w:b/>
          <w:sz w:val="20"/>
          <w:szCs w:val="20"/>
        </w:rPr>
        <w:t>Acto impugnado:</w:t>
      </w:r>
      <w:r w:rsidRPr="00AF0152">
        <w:rPr>
          <w:rStyle w:val="Ttulo2Car"/>
          <w:rFonts w:ascii="Palatino Linotype" w:hAnsi="Palatino Linotype"/>
          <w:b/>
          <w:i/>
          <w:sz w:val="20"/>
          <w:szCs w:val="20"/>
        </w:rPr>
        <w:t xml:space="preserve"> </w:t>
      </w:r>
      <w:r w:rsidRPr="00AF0152">
        <w:rPr>
          <w:rFonts w:ascii="Palatino Linotype" w:hAnsi="Palatino Linotype"/>
          <w:sz w:val="20"/>
          <w:szCs w:val="20"/>
        </w:rPr>
        <w:t>“</w:t>
      </w:r>
      <w:r w:rsidRPr="00AF0152">
        <w:rPr>
          <w:rFonts w:ascii="Palatino Linotype" w:hAnsi="Palatino Linotype"/>
          <w:i/>
          <w:sz w:val="20"/>
          <w:szCs w:val="20"/>
        </w:rPr>
        <w:t>Niegan la información</w:t>
      </w:r>
      <w:r w:rsidRPr="00AF0152">
        <w:rPr>
          <w:rFonts w:ascii="Palatino Linotype" w:hAnsi="Palatino Linotype"/>
          <w:sz w:val="20"/>
          <w:szCs w:val="20"/>
        </w:rPr>
        <w:t>"</w:t>
      </w:r>
      <w:r w:rsidRPr="00AF0152">
        <w:rPr>
          <w:rFonts w:ascii="Palatino Linotype" w:eastAsia="Calibri" w:hAnsi="Palatino Linotype" w:cs="Arial"/>
          <w:sz w:val="20"/>
          <w:szCs w:val="20"/>
        </w:rPr>
        <w:t xml:space="preserve"> (Sic); Y</w:t>
      </w:r>
    </w:p>
    <w:p w:rsidR="00AF0152" w:rsidRPr="00AF0152" w:rsidRDefault="00AF0152" w:rsidP="007B4483">
      <w:pPr>
        <w:pStyle w:val="Prrafodelista"/>
        <w:spacing w:line="360" w:lineRule="auto"/>
        <w:ind w:left="567" w:right="567"/>
        <w:jc w:val="both"/>
        <w:rPr>
          <w:rFonts w:ascii="Palatino Linotype" w:hAnsi="Palatino Linotype" w:cs="Arial"/>
          <w:sz w:val="20"/>
          <w:szCs w:val="20"/>
        </w:rPr>
      </w:pPr>
      <w:r w:rsidRPr="00AF0152">
        <w:rPr>
          <w:rFonts w:ascii="Palatino Linotype" w:hAnsi="Palatino Linotype"/>
          <w:b/>
          <w:sz w:val="20"/>
          <w:szCs w:val="20"/>
        </w:rPr>
        <w:lastRenderedPageBreak/>
        <w:t>Razones o Motivos de inconformidad:</w:t>
      </w:r>
      <w:r w:rsidRPr="00AF0152">
        <w:rPr>
          <w:rStyle w:val="Ttulo2Car"/>
          <w:rFonts w:ascii="Palatino Linotype" w:hAnsi="Palatino Linotype"/>
          <w:b/>
          <w:sz w:val="20"/>
          <w:szCs w:val="20"/>
        </w:rPr>
        <w:t xml:space="preserve"> </w:t>
      </w:r>
      <w:r w:rsidRPr="00AF0152">
        <w:rPr>
          <w:rFonts w:ascii="Palatino Linotype" w:hAnsi="Palatino Linotype"/>
          <w:i/>
          <w:sz w:val="20"/>
          <w:szCs w:val="20"/>
        </w:rPr>
        <w:t xml:space="preserve">“No es posible que siendo recursos públicos los equipos de </w:t>
      </w:r>
      <w:proofErr w:type="spellStart"/>
      <w:r w:rsidRPr="00AF0152">
        <w:rPr>
          <w:rFonts w:ascii="Palatino Linotype" w:hAnsi="Palatino Linotype"/>
          <w:i/>
          <w:sz w:val="20"/>
          <w:szCs w:val="20"/>
        </w:rPr>
        <w:t>computo</w:t>
      </w:r>
      <w:proofErr w:type="spellEnd"/>
      <w:r w:rsidRPr="00AF0152">
        <w:rPr>
          <w:rFonts w:ascii="Palatino Linotype" w:hAnsi="Palatino Linotype"/>
          <w:i/>
          <w:sz w:val="20"/>
          <w:szCs w:val="20"/>
        </w:rPr>
        <w:t xml:space="preserve">, nieguen la información y pretendan cobrar cuando esta </w:t>
      </w:r>
      <w:proofErr w:type="spellStart"/>
      <w:r w:rsidRPr="00AF0152">
        <w:rPr>
          <w:rFonts w:ascii="Palatino Linotype" w:hAnsi="Palatino Linotype"/>
          <w:i/>
          <w:sz w:val="20"/>
          <w:szCs w:val="20"/>
        </w:rPr>
        <w:t>mas</w:t>
      </w:r>
      <w:proofErr w:type="spellEnd"/>
      <w:r w:rsidRPr="00AF0152">
        <w:rPr>
          <w:rFonts w:ascii="Palatino Linotype" w:hAnsi="Palatino Linotype"/>
          <w:i/>
          <w:sz w:val="20"/>
          <w:szCs w:val="20"/>
        </w:rPr>
        <w:t xml:space="preserve"> que claro en las </w:t>
      </w:r>
      <w:r w:rsidRPr="001F5367">
        <w:rPr>
          <w:rFonts w:ascii="Palatino Linotype" w:hAnsi="Palatino Linotype"/>
          <w:i/>
          <w:sz w:val="20"/>
          <w:szCs w:val="20"/>
        </w:rPr>
        <w:t>diferentes leyes tanto en materia fiscal como patrimonial, que lo del estado debe hacerse de conocimiento de quien lo solicita, por involucrar recursos obtenidos de la bolsa de ciudadanos como yo, así que me haces favor de hacer tu trabajo, escanear o subir la información y entregarla, y basta de escudarse en la corrupción de querer cobrar por un</w:t>
      </w:r>
      <w:bookmarkStart w:id="0" w:name="_GoBack"/>
      <w:r w:rsidRPr="001F5367">
        <w:rPr>
          <w:rFonts w:ascii="Palatino Linotype" w:hAnsi="Palatino Linotype"/>
          <w:i/>
          <w:sz w:val="20"/>
          <w:szCs w:val="20"/>
        </w:rPr>
        <w:t xml:space="preserve"> </w:t>
      </w:r>
      <w:bookmarkEnd w:id="0"/>
      <w:r w:rsidRPr="001F5367">
        <w:rPr>
          <w:rFonts w:ascii="Palatino Linotype" w:hAnsi="Palatino Linotype"/>
          <w:i/>
          <w:sz w:val="20"/>
          <w:szCs w:val="20"/>
        </w:rPr>
        <w:t>derecho.”</w:t>
      </w:r>
      <w:r w:rsidRPr="00AF0152">
        <w:rPr>
          <w:rFonts w:ascii="Palatino Linotype" w:hAnsi="Palatino Linotype"/>
          <w:i/>
          <w:sz w:val="20"/>
          <w:szCs w:val="20"/>
        </w:rPr>
        <w:t xml:space="preserve"> </w:t>
      </w:r>
      <w:r w:rsidRPr="00AF0152">
        <w:rPr>
          <w:rFonts w:ascii="Palatino Linotype" w:hAnsi="Palatino Linotype" w:cs="Arial"/>
          <w:i/>
          <w:sz w:val="20"/>
          <w:szCs w:val="20"/>
        </w:rPr>
        <w:t>(Sic)</w:t>
      </w:r>
      <w:r w:rsidRPr="00AF0152">
        <w:rPr>
          <w:rFonts w:ascii="Palatino Linotype" w:hAnsi="Palatino Linotype" w:cs="Arial"/>
          <w:sz w:val="20"/>
          <w:szCs w:val="20"/>
        </w:rPr>
        <w:t xml:space="preserve"> </w:t>
      </w:r>
    </w:p>
    <w:p w:rsidR="00071DD4" w:rsidRDefault="00AF0152" w:rsidP="007B4483">
      <w:pPr>
        <w:spacing w:after="0" w:line="360" w:lineRule="auto"/>
        <w:jc w:val="both"/>
        <w:rPr>
          <w:rFonts w:ascii="Palatino Linotype" w:hAnsi="Palatino Linotype" w:cs="Tahoma"/>
          <w:sz w:val="24"/>
          <w:szCs w:val="24"/>
        </w:rPr>
      </w:pPr>
      <w:r>
        <w:rPr>
          <w:rFonts w:ascii="Palatino Linotype" w:hAnsi="Palatino Linotype" w:cs="Tahoma"/>
          <w:sz w:val="24"/>
          <w:szCs w:val="24"/>
        </w:rPr>
        <w:t>Como se advierte de lo anterior,</w:t>
      </w:r>
      <w:r w:rsidR="00DF1276">
        <w:rPr>
          <w:rFonts w:ascii="Palatino Linotype" w:hAnsi="Palatino Linotype" w:cs="Tahoma"/>
          <w:sz w:val="24"/>
          <w:szCs w:val="24"/>
        </w:rPr>
        <w:t xml:space="preserve"> el particular únicamente se inconforma por el cobro de la información, pero la Ponencia Resolutora determina bajo la figura de la suplencia de la queja pronunciarse sobre aspectos que no fueron recurridos por el interesado.</w:t>
      </w:r>
    </w:p>
    <w:p w:rsidR="00DF1276" w:rsidRDefault="00DF1276" w:rsidP="007B4483">
      <w:pPr>
        <w:spacing w:after="0" w:line="360" w:lineRule="auto"/>
        <w:jc w:val="both"/>
        <w:rPr>
          <w:rFonts w:ascii="Palatino Linotype" w:hAnsi="Palatino Linotype" w:cs="Tahoma"/>
          <w:sz w:val="24"/>
          <w:szCs w:val="24"/>
        </w:rPr>
      </w:pPr>
    </w:p>
    <w:p w:rsidR="00DF1276" w:rsidRPr="00DF1276" w:rsidRDefault="00DF1276" w:rsidP="007B4483">
      <w:pPr>
        <w:pStyle w:val="Prrafodelista"/>
        <w:spacing w:after="0" w:line="360" w:lineRule="auto"/>
        <w:ind w:left="567" w:right="567"/>
        <w:jc w:val="both"/>
        <w:rPr>
          <w:rFonts w:ascii="Palatino Linotype" w:hAnsi="Palatino Linotype"/>
          <w:i/>
          <w:sz w:val="20"/>
          <w:szCs w:val="20"/>
          <w:lang w:val="es-MX"/>
        </w:rPr>
      </w:pPr>
      <w:r w:rsidRPr="00DF1276">
        <w:rPr>
          <w:rFonts w:ascii="Palatino Linotype" w:hAnsi="Palatino Linotype"/>
          <w:i/>
          <w:sz w:val="20"/>
          <w:szCs w:val="20"/>
          <w:lang w:val="es-MX"/>
        </w:rPr>
        <w:t xml:space="preserve">Por otra parte, este Órgano Garante no pasa desapercibido que si bien es cierto, el Sujeto Obligado refirió que del año 2007 no cuenta con la información, pero también lo es que el particular no se inconformó de tal situación. Por lo tanto, conforme al principio de </w:t>
      </w:r>
      <w:r w:rsidRPr="00DF1276">
        <w:rPr>
          <w:rFonts w:ascii="Palatino Linotype" w:hAnsi="Palatino Linotype"/>
          <w:b/>
          <w:i/>
          <w:sz w:val="20"/>
          <w:szCs w:val="20"/>
          <w:lang w:val="es-MX"/>
        </w:rPr>
        <w:t xml:space="preserve">eficacia y </w:t>
      </w:r>
      <w:r w:rsidRPr="00DF1276">
        <w:rPr>
          <w:rFonts w:ascii="Palatino Linotype" w:hAnsi="Palatino Linotype"/>
          <w:i/>
          <w:sz w:val="20"/>
          <w:szCs w:val="20"/>
          <w:lang w:val="es-MX"/>
        </w:rPr>
        <w:t>con fundamento en lo dispuesto por los artículos</w:t>
      </w:r>
      <w:r w:rsidRPr="00DF1276">
        <w:rPr>
          <w:rFonts w:ascii="Palatino Linotype" w:hAnsi="Palatino Linotype"/>
          <w:b/>
          <w:i/>
          <w:sz w:val="20"/>
          <w:szCs w:val="20"/>
          <w:lang w:val="es-MX"/>
        </w:rPr>
        <w:t xml:space="preserve"> </w:t>
      </w:r>
      <w:r w:rsidRPr="00DF1276">
        <w:rPr>
          <w:rFonts w:ascii="Palatino Linotype" w:eastAsia="Times New Roman" w:hAnsi="Palatino Linotype" w:cs="Arial"/>
          <w:i/>
          <w:color w:val="000000"/>
          <w:sz w:val="20"/>
          <w:szCs w:val="20"/>
        </w:rPr>
        <w:t xml:space="preserve">artículos </w:t>
      </w:r>
      <w:r w:rsidRPr="00DF1276">
        <w:rPr>
          <w:rFonts w:ascii="Palatino Linotype" w:hAnsi="Palatino Linotype" w:cs="Arial"/>
          <w:i/>
          <w:sz w:val="20"/>
          <w:szCs w:val="20"/>
        </w:rPr>
        <w:t xml:space="preserve">13 y 181 penúltimo párrafo, de la Ley de Transparencia y Acceso a la Información Pública del Estado de México y Municipios, </w:t>
      </w:r>
      <w:r w:rsidRPr="00DF1276">
        <w:rPr>
          <w:rFonts w:ascii="Palatino Linotype" w:hAnsi="Palatino Linotype"/>
          <w:i/>
          <w:sz w:val="20"/>
          <w:szCs w:val="20"/>
        </w:rPr>
        <w:t>se procede a realizar una suplencia de la queja a favor del particular, y se analizará lo relativo a éste punto, aunque –se insiste- no fue impugnado por el recurrente al momento en que se formuló el recurso de revisión.</w:t>
      </w:r>
    </w:p>
    <w:p w:rsidR="00DF1276" w:rsidRPr="008B303E" w:rsidRDefault="00DF1276" w:rsidP="007B4483">
      <w:pPr>
        <w:spacing w:after="0" w:line="360" w:lineRule="auto"/>
        <w:jc w:val="both"/>
        <w:rPr>
          <w:rFonts w:ascii="Palatino Linotype" w:hAnsi="Palatino Linotype" w:cs="Tahoma"/>
          <w:sz w:val="24"/>
          <w:szCs w:val="24"/>
        </w:rPr>
      </w:pPr>
    </w:p>
    <w:p w:rsidR="00071DD4" w:rsidRDefault="00D0798A" w:rsidP="007B4483">
      <w:pPr>
        <w:spacing w:after="0" w:line="360" w:lineRule="auto"/>
        <w:jc w:val="both"/>
        <w:rPr>
          <w:rFonts w:ascii="Palatino Linotype" w:hAnsi="Palatino Linotype" w:cs="Tahoma"/>
          <w:spacing w:val="-2"/>
          <w:sz w:val="24"/>
          <w:szCs w:val="24"/>
        </w:rPr>
      </w:pPr>
      <w:r>
        <w:rPr>
          <w:rFonts w:ascii="Palatino Linotype" w:hAnsi="Palatino Linotype" w:cs="Tahoma"/>
          <w:spacing w:val="-2"/>
          <w:sz w:val="24"/>
          <w:szCs w:val="24"/>
        </w:rPr>
        <w:t xml:space="preserve">Así, </w:t>
      </w:r>
      <w:r w:rsidR="00DF1276">
        <w:rPr>
          <w:rFonts w:ascii="Palatino Linotype" w:hAnsi="Palatino Linotype" w:cs="Tahoma"/>
          <w:spacing w:val="-2"/>
          <w:sz w:val="24"/>
          <w:szCs w:val="24"/>
        </w:rPr>
        <w:t xml:space="preserve">se considera que aquello que no fue recurrido por el particular </w:t>
      </w:r>
      <w:r w:rsidR="00071DD4" w:rsidRPr="008B303E">
        <w:rPr>
          <w:rFonts w:ascii="Palatino Linotype" w:hAnsi="Palatino Linotype" w:cs="Tahoma"/>
          <w:spacing w:val="-2"/>
          <w:sz w:val="24"/>
          <w:szCs w:val="24"/>
        </w:rPr>
        <w:t xml:space="preserve">no debe ser motivo de análisis, pues es un principio procesal elemental que </w:t>
      </w:r>
      <w:r w:rsidR="00071DD4" w:rsidRPr="008B303E">
        <w:rPr>
          <w:rFonts w:ascii="Palatino Linotype" w:hAnsi="Palatino Linotype" w:cs="Tahoma"/>
          <w:b/>
          <w:spacing w:val="-2"/>
          <w:sz w:val="24"/>
          <w:szCs w:val="24"/>
        </w:rPr>
        <w:t>cualquier pretensión deducida ante los órganos jurisdiccionales es una manifestación de voluntad</w:t>
      </w:r>
      <w:r w:rsidR="00071DD4" w:rsidRPr="008B303E">
        <w:rPr>
          <w:rFonts w:ascii="Palatino Linotype" w:hAnsi="Palatino Linotype" w:cs="Tahoma"/>
          <w:spacing w:val="-2"/>
          <w:sz w:val="24"/>
          <w:szCs w:val="24"/>
        </w:rPr>
        <w:t>, expuesta como razonamiento estratégico, atinente a un fin concreto, que es reconocer y declarar en la sentencia al pretensor como titular de un derecho cuya realización y efectos reclama.</w:t>
      </w: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lastRenderedPageBreak/>
        <w:t xml:space="preserve">De ahí que, si no existe razón en la causa </w:t>
      </w:r>
      <w:proofErr w:type="spellStart"/>
      <w:r w:rsidRPr="008B303E">
        <w:rPr>
          <w:rFonts w:ascii="Palatino Linotype" w:hAnsi="Palatino Linotype" w:cs="Tahoma"/>
          <w:i/>
          <w:sz w:val="24"/>
          <w:szCs w:val="24"/>
        </w:rPr>
        <w:t>petendi</w:t>
      </w:r>
      <w:proofErr w:type="spellEnd"/>
      <w:r w:rsidRPr="008B303E">
        <w:rPr>
          <w:rFonts w:ascii="Palatino Linotype" w:hAnsi="Palatino Linotype" w:cs="Tahoma"/>
          <w:i/>
          <w:sz w:val="24"/>
          <w:szCs w:val="24"/>
        </w:rPr>
        <w:t xml:space="preserve"> </w:t>
      </w:r>
      <w:r w:rsidRPr="008B303E">
        <w:rPr>
          <w:rFonts w:ascii="Palatino Linotype" w:hAnsi="Palatino Linotype" w:cs="Tahoma"/>
          <w:sz w:val="24"/>
          <w:szCs w:val="24"/>
        </w:rPr>
        <w:t>(que el inconforme precise el agravio o lesión que le cause el acto reclamado), en relación con la respuesta otorgada por el Sujeto Obligado, de forma tal que permitan a este Instituto determinar mediante resolución fundada y motivada una consecuencia jurídica sobre los actos recaídos a dicho punto, la respuesta que se otorgó al mismo no debe ser analizada.</w:t>
      </w:r>
    </w:p>
    <w:p w:rsidR="00071DD4" w:rsidRPr="008B303E" w:rsidRDefault="00071DD4" w:rsidP="007B4483">
      <w:pPr>
        <w:spacing w:after="0" w:line="360" w:lineRule="auto"/>
        <w:jc w:val="both"/>
        <w:rPr>
          <w:rFonts w:ascii="Palatino Linotype" w:hAnsi="Palatino Linotype" w:cs="Tahoma"/>
          <w:sz w:val="24"/>
          <w:szCs w:val="24"/>
        </w:rPr>
      </w:pPr>
    </w:p>
    <w:p w:rsidR="00071DD4" w:rsidRDefault="00071DD4" w:rsidP="007B4483">
      <w:pPr>
        <w:spacing w:after="0" w:line="360" w:lineRule="auto"/>
        <w:jc w:val="both"/>
        <w:rPr>
          <w:rFonts w:ascii="Palatino Linotype" w:hAnsi="Palatino Linotype" w:cs="Tahoma"/>
          <w:bCs/>
          <w:iCs/>
          <w:sz w:val="24"/>
          <w:szCs w:val="24"/>
        </w:rPr>
      </w:pPr>
      <w:r w:rsidRPr="008B303E">
        <w:rPr>
          <w:rFonts w:ascii="Palatino Linotype" w:hAnsi="Palatino Linotype" w:cs="Tahoma"/>
          <w:sz w:val="24"/>
          <w:szCs w:val="24"/>
        </w:rPr>
        <w:t xml:space="preserve">En ese sentido, la respuesta o falta de respuesta a alguna parte de la solicitud debe considerarse un acto consentido tácitamente en razón de que, </w:t>
      </w:r>
      <w:r w:rsidRPr="008B303E">
        <w:rPr>
          <w:rFonts w:ascii="Palatino Linotype" w:hAnsi="Palatino Linotype" w:cs="Tahoma"/>
          <w:bCs/>
          <w:iCs/>
          <w:sz w:val="24"/>
          <w:szCs w:val="24"/>
        </w:rPr>
        <w:t xml:space="preserve">cuando no se reclaman los actos de autoridad en la vía y plazos establecidos en la Ley, </w:t>
      </w:r>
      <w:r w:rsidRPr="008B303E">
        <w:rPr>
          <w:rFonts w:ascii="Palatino Linotype" w:hAnsi="Palatino Linotype" w:cs="Tahoma"/>
          <w:b/>
          <w:bCs/>
          <w:iCs/>
          <w:sz w:val="24"/>
          <w:szCs w:val="24"/>
        </w:rPr>
        <w:t xml:space="preserve">se presume que el particular está conforme con los mismos, </w:t>
      </w:r>
      <w:r w:rsidRPr="008B303E">
        <w:rPr>
          <w:rFonts w:ascii="Palatino Linotype" w:hAnsi="Palatino Linotype" w:cs="Tahoma"/>
          <w:bCs/>
          <w:iCs/>
          <w:sz w:val="24"/>
          <w:szCs w:val="24"/>
        </w:rPr>
        <w:t xml:space="preserve">de acuerdo a lo plasmado en la </w:t>
      </w:r>
      <w:r w:rsidRPr="008B303E">
        <w:rPr>
          <w:rFonts w:ascii="Palatino Linotype" w:hAnsi="Palatino Linotype" w:cs="Tahoma"/>
          <w:sz w:val="24"/>
          <w:szCs w:val="24"/>
        </w:rPr>
        <w:t>Jurisprudencia “ACTOS CONSENTIDOS TACITAMENTE” (</w:t>
      </w:r>
      <w:r w:rsidRPr="008B303E">
        <w:rPr>
          <w:rFonts w:ascii="Palatino Linotype" w:hAnsi="Palatino Linotype" w:cs="Tahoma"/>
          <w:bCs/>
          <w:iCs/>
          <w:sz w:val="24"/>
          <w:szCs w:val="24"/>
        </w:rPr>
        <w:t>Semanario Judicial de la Federación y su Gaceta, Quinta Época,</w:t>
      </w:r>
      <w:r w:rsidRPr="008B303E">
        <w:rPr>
          <w:rFonts w:ascii="Palatino Linotype" w:hAnsi="Palatino Linotype" w:cs="Tahoma"/>
          <w:sz w:val="24"/>
          <w:szCs w:val="24"/>
        </w:rPr>
        <w:t xml:space="preserve"> Tomo VI,</w:t>
      </w:r>
      <w:r w:rsidRPr="008B303E">
        <w:rPr>
          <w:rFonts w:ascii="Palatino Linotype" w:hAnsi="Palatino Linotype" w:cs="Tahoma"/>
          <w:bCs/>
          <w:iCs/>
          <w:sz w:val="24"/>
          <w:szCs w:val="24"/>
        </w:rPr>
        <w:t xml:space="preserve"> 1995, pág. 11.)</w:t>
      </w:r>
    </w:p>
    <w:p w:rsidR="007B4483" w:rsidRDefault="007B4483" w:rsidP="007B4483">
      <w:pPr>
        <w:spacing w:after="0" w:line="360" w:lineRule="auto"/>
        <w:jc w:val="both"/>
        <w:rPr>
          <w:rFonts w:ascii="Palatino Linotype" w:hAnsi="Palatino Linotype" w:cs="Tahoma"/>
          <w:bCs/>
          <w:iCs/>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bCs/>
          <w:iCs/>
          <w:sz w:val="24"/>
          <w:szCs w:val="24"/>
        </w:rPr>
        <w:t xml:space="preserve">En ese orden de ideas, la Tesis Aislada “CONSENTIMIENTO TÁCITO DEL ACTO RECLAMADO EN AMPARO. ELEMENTOS PARA PRESUMIRLO.” (Semanario Judicial de la Federación, Octava Época, Tomo IX, junio de 1992, pág. 364), establece los elementos para presumir el consentimiento tácito del acto reclamado en el amparo, a saber, los siguientes: i) Un acto de autoridad; ii) Una persona afectada por el hecho; iii) La posibilidad de promover el juicio de amparo contra el acto en cuestión; iv) El plazo para el ejercicio de dicha acción y v) El trascurso de ese lapso sin haberse presentando inconformidad. </w:t>
      </w:r>
    </w:p>
    <w:p w:rsidR="00071DD4" w:rsidRPr="008B303E" w:rsidRDefault="00071DD4" w:rsidP="007B4483">
      <w:pPr>
        <w:spacing w:after="0" w:line="360" w:lineRule="auto"/>
        <w:jc w:val="both"/>
        <w:rPr>
          <w:rFonts w:ascii="Palatino Linotype" w:hAnsi="Palatino Linotype" w:cs="Tahoma"/>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 xml:space="preserve">Desde mi perspectiva en el presenta caso, toda vez que existe: un acto de autoridad, la respuesta a la solicitud de acceso a la información; una persona afectada por el </w:t>
      </w:r>
      <w:r w:rsidRPr="008B303E">
        <w:rPr>
          <w:rFonts w:ascii="Palatino Linotype" w:hAnsi="Palatino Linotype" w:cs="Tahoma"/>
          <w:sz w:val="24"/>
          <w:szCs w:val="24"/>
        </w:rPr>
        <w:lastRenderedPageBreak/>
        <w:t>hecho -el ahora recurrente-;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un plazo legal de quince días hábiles para la interposición del recurso de revisión, conforme al artículo 178 del ordenamiento legal en cita y, que transcurrió el plazo sin que el ahora recurrente manifestara queja alguna con la respuesta dada, debe considerarse que la respuesta otorgada por el Sujeto Obligado a dicho contenido de información es un acto consentido tácitamente.</w:t>
      </w:r>
    </w:p>
    <w:p w:rsidR="00071DD4" w:rsidRPr="008B303E" w:rsidRDefault="00071DD4" w:rsidP="007B4483">
      <w:pPr>
        <w:spacing w:after="0" w:line="360" w:lineRule="auto"/>
        <w:jc w:val="both"/>
        <w:rPr>
          <w:rFonts w:ascii="Palatino Linotype" w:hAnsi="Palatino Linotype" w:cs="Tahoma"/>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 xml:space="preserve">En ese orden de ideas, considero que dentro de la Resolución no debió agregarse el pronunciamiento y análisis respecto </w:t>
      </w:r>
      <w:r w:rsidR="00997769">
        <w:rPr>
          <w:rFonts w:ascii="Palatino Linotype" w:hAnsi="Palatino Linotype" w:cs="Tahoma"/>
          <w:sz w:val="24"/>
          <w:szCs w:val="24"/>
        </w:rPr>
        <w:t xml:space="preserve">de los puntos que </w:t>
      </w:r>
      <w:r w:rsidRPr="008B303E">
        <w:rPr>
          <w:rFonts w:ascii="Palatino Linotype" w:hAnsi="Palatino Linotype" w:cs="Tahoma"/>
          <w:sz w:val="24"/>
          <w:szCs w:val="24"/>
        </w:rPr>
        <w:t>no fue</w:t>
      </w:r>
      <w:r w:rsidR="00997769">
        <w:rPr>
          <w:rFonts w:ascii="Palatino Linotype" w:hAnsi="Palatino Linotype" w:cs="Tahoma"/>
          <w:sz w:val="24"/>
          <w:szCs w:val="24"/>
        </w:rPr>
        <w:t>ron</w:t>
      </w:r>
      <w:r w:rsidRPr="008B303E">
        <w:rPr>
          <w:rFonts w:ascii="Palatino Linotype" w:hAnsi="Palatino Linotype" w:cs="Tahoma"/>
          <w:sz w:val="24"/>
          <w:szCs w:val="24"/>
        </w:rPr>
        <w:t xml:space="preserve"> motivo de inconformidad por la parte recurrente.</w:t>
      </w:r>
    </w:p>
    <w:p w:rsidR="00071DD4" w:rsidRPr="008B303E" w:rsidRDefault="00071DD4" w:rsidP="007B4483">
      <w:pPr>
        <w:spacing w:after="0" w:line="360" w:lineRule="auto"/>
        <w:jc w:val="both"/>
        <w:rPr>
          <w:rFonts w:ascii="Palatino Linotype" w:hAnsi="Palatino Linotype" w:cs="Tahoma"/>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Por lo anterior, es que desde la óptica de un servidor, no se debe</w:t>
      </w:r>
      <w:r w:rsidR="00E736A9">
        <w:rPr>
          <w:rFonts w:ascii="Palatino Linotype" w:hAnsi="Palatino Linotype" w:cs="Tahoma"/>
          <w:sz w:val="24"/>
          <w:szCs w:val="24"/>
        </w:rPr>
        <w:t>n</w:t>
      </w:r>
      <w:r w:rsidRPr="008B303E">
        <w:rPr>
          <w:rFonts w:ascii="Palatino Linotype" w:hAnsi="Palatino Linotype" w:cs="Tahoma"/>
          <w:sz w:val="24"/>
          <w:szCs w:val="24"/>
        </w:rPr>
        <w:t xml:space="preserve"> añadir a la </w:t>
      </w:r>
      <w:r w:rsidRPr="008B303E">
        <w:rPr>
          <w:rFonts w:ascii="Palatino Linotype" w:hAnsi="Palatino Linotype" w:cs="Tahoma"/>
          <w:i/>
          <w:sz w:val="24"/>
          <w:szCs w:val="24"/>
        </w:rPr>
        <w:t xml:space="preserve">Litis </w:t>
      </w:r>
      <w:r w:rsidRPr="008B303E">
        <w:rPr>
          <w:rFonts w:ascii="Palatino Linotype" w:hAnsi="Palatino Linotype" w:cs="Tahoma"/>
          <w:sz w:val="24"/>
          <w:szCs w:val="24"/>
        </w:rPr>
        <w:t xml:space="preserve">de la presente resolución cuestiones que no fueron motivo de reclamo, toda vez que el recurrente contó con garantías para hacer valer su inconformidad, como el recurso de revisión en materia de transparencia y un tiempo razonable para presentar el medio de impugnación ante una autoridad especializada, como lo es este Instituto, por lo que el hecho de que esta autoridad </w:t>
      </w:r>
      <w:r w:rsidR="00E736A9" w:rsidRPr="008B303E">
        <w:rPr>
          <w:rFonts w:ascii="Palatino Linotype" w:hAnsi="Palatino Linotype" w:cs="Tahoma"/>
          <w:sz w:val="24"/>
          <w:szCs w:val="24"/>
        </w:rPr>
        <w:t>Resolutora</w:t>
      </w:r>
      <w:r w:rsidRPr="008B303E">
        <w:rPr>
          <w:rFonts w:ascii="Palatino Linotype" w:hAnsi="Palatino Linotype" w:cs="Tahoma"/>
          <w:sz w:val="24"/>
          <w:szCs w:val="24"/>
        </w:rPr>
        <w:t xml:space="preserve"> no analice la respuesta a los puntos de la solicitud que no fueron motivo de agravio por parte del recurrente, no violenta el derecho humano previsto por </w:t>
      </w:r>
      <w:r w:rsidR="00E736A9">
        <w:rPr>
          <w:rFonts w:ascii="Palatino Linotype" w:hAnsi="Palatino Linotype" w:cs="Tahoma"/>
          <w:sz w:val="24"/>
          <w:szCs w:val="24"/>
        </w:rPr>
        <w:t>los</w:t>
      </w:r>
      <w:r w:rsidRPr="008B303E">
        <w:rPr>
          <w:rFonts w:ascii="Palatino Linotype" w:hAnsi="Palatino Linotype" w:cs="Tahoma"/>
          <w:sz w:val="24"/>
          <w:szCs w:val="24"/>
        </w:rPr>
        <w:t xml:space="preserve"> artículo</w:t>
      </w:r>
      <w:r w:rsidR="00E736A9">
        <w:rPr>
          <w:rFonts w:ascii="Palatino Linotype" w:hAnsi="Palatino Linotype" w:cs="Tahoma"/>
          <w:sz w:val="24"/>
          <w:szCs w:val="24"/>
        </w:rPr>
        <w:t>s</w:t>
      </w:r>
      <w:r w:rsidRPr="008B303E">
        <w:rPr>
          <w:rFonts w:ascii="Palatino Linotype" w:hAnsi="Palatino Linotype" w:cs="Tahoma"/>
          <w:sz w:val="24"/>
          <w:szCs w:val="24"/>
        </w:rPr>
        <w:t xml:space="preserve"> 6° de la Constitución Política de los Estados Unidos Mexicanos y 5° de la Constitución del Estado Libre y Soberano </w:t>
      </w:r>
      <w:r w:rsidRPr="008B303E">
        <w:rPr>
          <w:rFonts w:ascii="Palatino Linotype" w:hAnsi="Palatino Linotype" w:cs="Tahoma"/>
          <w:sz w:val="24"/>
          <w:szCs w:val="24"/>
        </w:rPr>
        <w:lastRenderedPageBreak/>
        <w:t>de México; lo anterior es así, en virtud de que el actor manifestó únicamente inconformidad con la respuesta</w:t>
      </w:r>
      <w:r w:rsidR="007F4F7D" w:rsidRPr="008B303E">
        <w:rPr>
          <w:rFonts w:ascii="Palatino Linotype" w:hAnsi="Palatino Linotype" w:cs="Tahoma"/>
          <w:sz w:val="24"/>
          <w:szCs w:val="24"/>
        </w:rPr>
        <w:t xml:space="preserve"> referente </w:t>
      </w:r>
      <w:r w:rsidR="00E74654">
        <w:rPr>
          <w:rFonts w:ascii="Palatino Linotype" w:hAnsi="Palatino Linotype" w:cs="Tahoma"/>
          <w:sz w:val="24"/>
          <w:szCs w:val="24"/>
        </w:rPr>
        <w:t>al cobro por la entrega de la información.</w:t>
      </w:r>
    </w:p>
    <w:p w:rsidR="00071DD4" w:rsidRPr="008B303E" w:rsidRDefault="00071DD4" w:rsidP="007B4483">
      <w:pPr>
        <w:spacing w:after="0" w:line="360" w:lineRule="auto"/>
        <w:jc w:val="both"/>
        <w:rPr>
          <w:rFonts w:ascii="Palatino Linotype" w:hAnsi="Palatino Linotype" w:cs="Tahoma"/>
          <w:sz w:val="18"/>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Por las consideraciones expuestas, concluyo lo siguiente:</w:t>
      </w:r>
    </w:p>
    <w:p w:rsidR="00071DD4" w:rsidRPr="008B303E" w:rsidRDefault="00071DD4" w:rsidP="007B4483">
      <w:pPr>
        <w:spacing w:after="0" w:line="360" w:lineRule="auto"/>
        <w:jc w:val="both"/>
        <w:rPr>
          <w:rFonts w:ascii="Palatino Linotype" w:hAnsi="Palatino Linotype" w:cs="Tahoma"/>
          <w:sz w:val="20"/>
          <w:szCs w:val="24"/>
        </w:rPr>
      </w:pPr>
    </w:p>
    <w:p w:rsidR="00071DD4" w:rsidRPr="008B303E" w:rsidRDefault="00071DD4" w:rsidP="007B4483">
      <w:pPr>
        <w:pStyle w:val="Prrafodelista"/>
        <w:numPr>
          <w:ilvl w:val="0"/>
          <w:numId w:val="1"/>
        </w:num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 xml:space="preserve">En el presente caso, aplicaba la figura del </w:t>
      </w:r>
      <w:r w:rsidR="00E736A9">
        <w:rPr>
          <w:rFonts w:ascii="Palatino Linotype" w:hAnsi="Palatino Linotype" w:cs="Tahoma"/>
          <w:b/>
          <w:sz w:val="24"/>
          <w:szCs w:val="24"/>
        </w:rPr>
        <w:t>consentimiento tácito,</w:t>
      </w:r>
      <w:r w:rsidRPr="008B303E">
        <w:rPr>
          <w:rFonts w:ascii="Palatino Linotype" w:hAnsi="Palatino Linotype" w:cs="Tahoma"/>
          <w:sz w:val="24"/>
          <w:szCs w:val="24"/>
        </w:rPr>
        <w:t xml:space="preserve"> por lo tanto, no se debió analizar</w:t>
      </w:r>
      <w:r w:rsidR="00A37921">
        <w:rPr>
          <w:rFonts w:ascii="Palatino Linotype" w:hAnsi="Palatino Linotype" w:cs="Tahoma"/>
          <w:sz w:val="24"/>
          <w:szCs w:val="24"/>
        </w:rPr>
        <w:t>se</w:t>
      </w:r>
      <w:r w:rsidRPr="008B303E">
        <w:rPr>
          <w:rFonts w:ascii="Palatino Linotype" w:hAnsi="Palatino Linotype" w:cs="Tahoma"/>
          <w:sz w:val="24"/>
          <w:szCs w:val="24"/>
        </w:rPr>
        <w:t xml:space="preserve"> </w:t>
      </w:r>
      <w:r w:rsidR="00A37921">
        <w:rPr>
          <w:rFonts w:ascii="Palatino Linotype" w:hAnsi="Palatino Linotype" w:cs="Tahoma"/>
          <w:sz w:val="24"/>
          <w:szCs w:val="24"/>
        </w:rPr>
        <w:t>aquello</w:t>
      </w:r>
      <w:r w:rsidRPr="008B303E">
        <w:rPr>
          <w:rFonts w:ascii="Palatino Linotype" w:hAnsi="Palatino Linotype" w:cs="Tahoma"/>
          <w:sz w:val="24"/>
          <w:szCs w:val="24"/>
        </w:rPr>
        <w:t xml:space="preserve"> que no fue motivo de agravio;</w:t>
      </w:r>
    </w:p>
    <w:p w:rsidR="00071DD4" w:rsidRPr="008B303E" w:rsidRDefault="00071DD4" w:rsidP="007B4483">
      <w:pPr>
        <w:spacing w:after="0" w:line="360" w:lineRule="auto"/>
        <w:jc w:val="both"/>
        <w:rPr>
          <w:rFonts w:ascii="Palatino Linotype" w:hAnsi="Palatino Linotype" w:cs="Tahoma"/>
          <w:sz w:val="18"/>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 xml:space="preserve">Así, con base en los razonamientos expuestos, </w:t>
      </w:r>
      <w:r w:rsidRPr="008B303E">
        <w:rPr>
          <w:rFonts w:ascii="Palatino Linotype" w:hAnsi="Palatino Linotype" w:cs="Tahoma"/>
          <w:b/>
          <w:sz w:val="24"/>
          <w:szCs w:val="24"/>
        </w:rPr>
        <w:t>se emite el presente Voto Particular</w:t>
      </w:r>
      <w:r w:rsidRPr="008B303E">
        <w:rPr>
          <w:rFonts w:ascii="Palatino Linotype" w:hAnsi="Palatino Linotype" w:cs="Tahoma"/>
          <w:sz w:val="24"/>
          <w:szCs w:val="24"/>
        </w:rPr>
        <w:t>.</w:t>
      </w:r>
    </w:p>
    <w:p w:rsidR="00E736A9" w:rsidRDefault="00E736A9" w:rsidP="007B4483">
      <w:pPr>
        <w:spacing w:after="0" w:line="360" w:lineRule="auto"/>
        <w:jc w:val="center"/>
        <w:rPr>
          <w:rFonts w:ascii="Palatino Linotype" w:hAnsi="Palatino Linotype" w:cs="Tahoma"/>
          <w:b/>
          <w:sz w:val="24"/>
          <w:szCs w:val="24"/>
        </w:rPr>
      </w:pPr>
    </w:p>
    <w:p w:rsidR="00071DD4" w:rsidRPr="008B303E" w:rsidRDefault="00071DD4" w:rsidP="007B4483">
      <w:pPr>
        <w:spacing w:after="0" w:line="360" w:lineRule="auto"/>
        <w:jc w:val="center"/>
        <w:rPr>
          <w:rFonts w:ascii="Palatino Linotype" w:hAnsi="Palatino Linotype" w:cs="Tahoma"/>
          <w:b/>
          <w:sz w:val="24"/>
          <w:szCs w:val="24"/>
        </w:rPr>
      </w:pPr>
      <w:r w:rsidRPr="008B303E">
        <w:rPr>
          <w:rFonts w:ascii="Palatino Linotype" w:hAnsi="Palatino Linotype" w:cs="Tahoma"/>
          <w:b/>
          <w:sz w:val="24"/>
          <w:szCs w:val="24"/>
        </w:rPr>
        <w:t>(Rúbrica)</w:t>
      </w:r>
    </w:p>
    <w:p w:rsidR="00071DD4" w:rsidRPr="008B303E" w:rsidRDefault="00071DD4" w:rsidP="007B4483">
      <w:pPr>
        <w:spacing w:after="0" w:line="360" w:lineRule="auto"/>
        <w:jc w:val="both"/>
        <w:rPr>
          <w:rFonts w:ascii="Palatino Linotype" w:hAnsi="Palatino Linotype" w:cs="Tahoma"/>
          <w:sz w:val="24"/>
          <w:szCs w:val="24"/>
        </w:rPr>
      </w:pPr>
    </w:p>
    <w:p w:rsidR="00071DD4" w:rsidRPr="008B303E" w:rsidRDefault="00071DD4" w:rsidP="007B4483">
      <w:pPr>
        <w:spacing w:after="0" w:line="360" w:lineRule="auto"/>
        <w:jc w:val="center"/>
        <w:rPr>
          <w:rFonts w:ascii="Palatino Linotype" w:hAnsi="Palatino Linotype" w:cs="Tahoma"/>
          <w:b/>
          <w:sz w:val="24"/>
          <w:szCs w:val="24"/>
        </w:rPr>
      </w:pPr>
      <w:r w:rsidRPr="008B303E">
        <w:rPr>
          <w:rFonts w:ascii="Palatino Linotype" w:hAnsi="Palatino Linotype" w:cs="Tahoma"/>
          <w:b/>
          <w:sz w:val="24"/>
          <w:szCs w:val="24"/>
        </w:rPr>
        <w:t>Luis Gustavo Parra Noriega</w:t>
      </w:r>
    </w:p>
    <w:p w:rsidR="00040AE0" w:rsidRPr="008B303E" w:rsidRDefault="00071DD4" w:rsidP="007B4483">
      <w:pPr>
        <w:spacing w:after="0" w:line="360" w:lineRule="auto"/>
        <w:jc w:val="center"/>
        <w:rPr>
          <w:rFonts w:ascii="Palatino Linotype" w:hAnsi="Palatino Linotype"/>
        </w:rPr>
      </w:pPr>
      <w:r w:rsidRPr="008B303E">
        <w:rPr>
          <w:rFonts w:ascii="Palatino Linotype" w:hAnsi="Palatino Linotype" w:cs="Tahoma"/>
          <w:sz w:val="24"/>
          <w:szCs w:val="24"/>
        </w:rPr>
        <w:t>Comisionado</w:t>
      </w:r>
    </w:p>
    <w:sectPr w:rsidR="00040AE0" w:rsidRPr="008B303E" w:rsidSect="008B303E">
      <w:headerReference w:type="default" r:id="rId7"/>
      <w:footerReference w:type="default" r:id="rId8"/>
      <w:pgSz w:w="12240" w:h="15840" w:code="1"/>
      <w:pgMar w:top="1417" w:right="1701" w:bottom="1417"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B82" w:rsidRDefault="009F1B82">
      <w:pPr>
        <w:spacing w:after="0" w:line="240" w:lineRule="auto"/>
      </w:pPr>
      <w:r>
        <w:separator/>
      </w:r>
    </w:p>
  </w:endnote>
  <w:endnote w:type="continuationSeparator" w:id="0">
    <w:p w:rsidR="009F1B82" w:rsidRDefault="009F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010114"/>
      <w:docPartObj>
        <w:docPartGallery w:val="Page Numbers (Bottom of Page)"/>
        <w:docPartUnique/>
      </w:docPartObj>
    </w:sdtPr>
    <w:sdtEndPr/>
    <w:sdtContent>
      <w:sdt>
        <w:sdtPr>
          <w:id w:val="1728636285"/>
          <w:docPartObj>
            <w:docPartGallery w:val="Page Numbers (Top of Page)"/>
            <w:docPartUnique/>
          </w:docPartObj>
        </w:sdtPr>
        <w:sdtEndPr/>
        <w:sdtContent>
          <w:p w:rsidR="003E4648" w:rsidRDefault="00F4211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F5367">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F5367">
              <w:rPr>
                <w:b/>
                <w:bCs/>
                <w:noProof/>
              </w:rPr>
              <w:t>7</w:t>
            </w:r>
            <w:r>
              <w:rPr>
                <w:b/>
                <w:bCs/>
                <w:sz w:val="24"/>
                <w:szCs w:val="24"/>
              </w:rPr>
              <w:fldChar w:fldCharType="end"/>
            </w:r>
          </w:p>
        </w:sdtContent>
      </w:sdt>
    </w:sdtContent>
  </w:sdt>
  <w:p w:rsidR="007C4D31" w:rsidRDefault="009F1B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B82" w:rsidRDefault="009F1B82">
      <w:pPr>
        <w:spacing w:after="0" w:line="240" w:lineRule="auto"/>
      </w:pPr>
      <w:r>
        <w:separator/>
      </w:r>
    </w:p>
  </w:footnote>
  <w:footnote w:type="continuationSeparator" w:id="0">
    <w:p w:rsidR="009F1B82" w:rsidRDefault="009F1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1106EA">
      <w:trPr>
        <w:trHeight w:val="2280"/>
      </w:trPr>
      <w:tc>
        <w:tcPr>
          <w:tcW w:w="2830" w:type="dxa"/>
          <w:vAlign w:val="bottom"/>
        </w:tcPr>
        <w:p w:rsidR="0077694E" w:rsidRDefault="00F42117" w:rsidP="0077694E">
          <w:pPr>
            <w:pStyle w:val="Encabezado"/>
            <w:tabs>
              <w:tab w:val="clear" w:pos="4252"/>
              <w:tab w:val="center" w:pos="2614"/>
            </w:tabs>
            <w:ind w:left="-255"/>
          </w:pPr>
          <w:r>
            <w:rPr>
              <w:noProof/>
              <w:sz w:val="10"/>
              <w:szCs w:val="10"/>
              <w:lang w:val="es-MX" w:eastAsia="es-MX"/>
            </w:rPr>
            <w:drawing>
              <wp:inline distT="0" distB="0" distL="0" distR="0" wp14:anchorId="255A330A" wp14:editId="1064D9E2">
                <wp:extent cx="1873633" cy="11265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9F1B82" w:rsidP="0077694E">
          <w:pPr>
            <w:pStyle w:val="Encabezado"/>
            <w:tabs>
              <w:tab w:val="clear" w:pos="4252"/>
              <w:tab w:val="center" w:pos="2614"/>
            </w:tabs>
          </w:pPr>
        </w:p>
      </w:tc>
      <w:tc>
        <w:tcPr>
          <w:tcW w:w="6237" w:type="dxa"/>
          <w:vAlign w:val="center"/>
        </w:tcPr>
        <w:p w:rsidR="001106EA" w:rsidRPr="001106EA" w:rsidRDefault="009F1B82" w:rsidP="006812A4">
          <w:pPr>
            <w:pStyle w:val="Encabezado"/>
            <w:tabs>
              <w:tab w:val="left" w:pos="6134"/>
            </w:tabs>
            <w:ind w:left="-108" w:right="-250"/>
            <w:jc w:val="both"/>
            <w:rPr>
              <w:rFonts w:ascii="Tahoma" w:hAnsi="Tahoma" w:cs="Tahoma"/>
            </w:rPr>
          </w:pPr>
        </w:p>
        <w:p w:rsidR="001106EA" w:rsidRPr="008B303E" w:rsidRDefault="00F42117" w:rsidP="006812A4">
          <w:pPr>
            <w:pStyle w:val="Encabezado"/>
            <w:tabs>
              <w:tab w:val="left" w:pos="6134"/>
            </w:tabs>
            <w:ind w:left="-108" w:right="-250"/>
            <w:jc w:val="both"/>
            <w:rPr>
              <w:rFonts w:ascii="Palatino Linotype" w:hAnsi="Palatino Linotype" w:cs="Tahoma"/>
              <w:b/>
            </w:rPr>
          </w:pPr>
          <w:r w:rsidRPr="008B303E">
            <w:rPr>
              <w:rFonts w:ascii="Palatino Linotype" w:hAnsi="Palatino Linotype" w:cs="Tahoma"/>
              <w:b/>
            </w:rPr>
            <w:t>Voto Particular</w:t>
          </w:r>
        </w:p>
        <w:p w:rsidR="006812A4" w:rsidRDefault="00F42117" w:rsidP="006812A4">
          <w:pPr>
            <w:pStyle w:val="Encabezado"/>
            <w:tabs>
              <w:tab w:val="left" w:pos="6134"/>
            </w:tabs>
            <w:ind w:left="-108" w:right="-250"/>
            <w:jc w:val="both"/>
            <w:rPr>
              <w:rFonts w:ascii="Palatino Linotype" w:hAnsi="Palatino Linotype" w:cs="Tahoma"/>
              <w:b/>
            </w:rPr>
          </w:pPr>
          <w:r w:rsidRPr="008B303E">
            <w:rPr>
              <w:rFonts w:ascii="Palatino Linotype" w:hAnsi="Palatino Linotype" w:cs="Tahoma"/>
              <w:b/>
            </w:rPr>
            <w:t>Recurso de Revisión: 03</w:t>
          </w:r>
          <w:r w:rsidR="00E27C76">
            <w:rPr>
              <w:rFonts w:ascii="Palatino Linotype" w:hAnsi="Palatino Linotype" w:cs="Tahoma"/>
              <w:b/>
            </w:rPr>
            <w:t>303</w:t>
          </w:r>
          <w:r w:rsidRPr="008B303E">
            <w:rPr>
              <w:rFonts w:ascii="Palatino Linotype" w:hAnsi="Palatino Linotype" w:cs="Tahoma"/>
              <w:b/>
            </w:rPr>
            <w:t>/INFOEM/IP/RR/2018</w:t>
          </w:r>
          <w:r w:rsidR="006812A4">
            <w:rPr>
              <w:rFonts w:ascii="Palatino Linotype" w:hAnsi="Palatino Linotype" w:cs="Tahoma"/>
              <w:b/>
            </w:rPr>
            <w:t xml:space="preserve"> y </w:t>
          </w:r>
        </w:p>
        <w:p w:rsidR="00E27C76" w:rsidRDefault="006812A4" w:rsidP="006812A4">
          <w:pPr>
            <w:pStyle w:val="Encabezado"/>
            <w:tabs>
              <w:tab w:val="left" w:pos="6134"/>
            </w:tabs>
            <w:ind w:left="-108" w:right="-250"/>
            <w:jc w:val="both"/>
            <w:rPr>
              <w:rFonts w:ascii="Palatino Linotype" w:hAnsi="Palatino Linotype" w:cs="Tahoma"/>
              <w:b/>
              <w:lang w:val="es-ES_tradnl"/>
            </w:rPr>
          </w:pPr>
          <w:r>
            <w:rPr>
              <w:rFonts w:ascii="Palatino Linotype" w:hAnsi="Palatino Linotype" w:cs="Tahoma"/>
              <w:b/>
            </w:rPr>
            <w:t>acumulados</w:t>
          </w:r>
        </w:p>
        <w:p w:rsidR="008B303E" w:rsidRPr="00E27C76" w:rsidRDefault="008B303E" w:rsidP="006812A4">
          <w:pPr>
            <w:pStyle w:val="Encabezado"/>
            <w:tabs>
              <w:tab w:val="left" w:pos="6134"/>
            </w:tabs>
            <w:ind w:left="-108" w:right="-250"/>
            <w:jc w:val="both"/>
            <w:rPr>
              <w:rFonts w:ascii="Palatino Linotype" w:hAnsi="Palatino Linotype" w:cs="Tahoma"/>
              <w:b/>
              <w:lang w:val="es-ES_tradnl"/>
            </w:rPr>
          </w:pPr>
          <w:r>
            <w:rPr>
              <w:rFonts w:ascii="Palatino Linotype" w:hAnsi="Palatino Linotype" w:cs="Tahoma"/>
              <w:b/>
              <w:lang w:val="es-ES_tradnl"/>
            </w:rPr>
            <w:t xml:space="preserve">Sujeto Obligado: </w:t>
          </w:r>
          <w:r w:rsidR="00E27C76" w:rsidRPr="00E27C76">
            <w:rPr>
              <w:rFonts w:ascii="Palatino Linotype" w:hAnsi="Palatino Linotype" w:cs="Tahoma"/>
              <w:b/>
              <w:lang w:val="es-ES_tradnl"/>
            </w:rPr>
            <w:t>Universidad Politécnica del Valle de Toluca</w:t>
          </w:r>
        </w:p>
        <w:p w:rsidR="00D17F1D" w:rsidRPr="001106EA" w:rsidRDefault="00F42117" w:rsidP="006812A4">
          <w:pPr>
            <w:pStyle w:val="Encabezado"/>
            <w:tabs>
              <w:tab w:val="left" w:pos="6134"/>
            </w:tabs>
            <w:ind w:left="-108" w:right="-250"/>
            <w:jc w:val="both"/>
            <w:rPr>
              <w:rFonts w:ascii="Tahoma" w:hAnsi="Tahoma" w:cs="Tahoma"/>
            </w:rPr>
          </w:pPr>
          <w:r w:rsidRPr="008B303E">
            <w:rPr>
              <w:rFonts w:ascii="Palatino Linotype" w:hAnsi="Palatino Linotype" w:cs="Tahoma"/>
              <w:b/>
            </w:rPr>
            <w:t xml:space="preserve">Comisionado Ponente: </w:t>
          </w:r>
          <w:r w:rsidR="00E27C76">
            <w:rPr>
              <w:rFonts w:ascii="Palatino Linotype" w:hAnsi="Palatino Linotype" w:cs="Tahoma"/>
              <w:b/>
            </w:rPr>
            <w:t>José Guadalupe Luna Hernández</w:t>
          </w:r>
        </w:p>
      </w:tc>
    </w:tr>
  </w:tbl>
  <w:p w:rsidR="00D55429" w:rsidRPr="001106EA" w:rsidRDefault="009F1B82">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F333D"/>
    <w:multiLevelType w:val="hybridMultilevel"/>
    <w:tmpl w:val="9502FF1C"/>
    <w:lvl w:ilvl="0" w:tplc="5AE6A0FC">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D4"/>
    <w:rsid w:val="00037555"/>
    <w:rsid w:val="000666DE"/>
    <w:rsid w:val="00071DD4"/>
    <w:rsid w:val="000B381B"/>
    <w:rsid w:val="001E087F"/>
    <w:rsid w:val="001F5367"/>
    <w:rsid w:val="002E006C"/>
    <w:rsid w:val="003A5EE0"/>
    <w:rsid w:val="00412102"/>
    <w:rsid w:val="004F46AD"/>
    <w:rsid w:val="00503F24"/>
    <w:rsid w:val="00562484"/>
    <w:rsid w:val="005C1D35"/>
    <w:rsid w:val="005D5183"/>
    <w:rsid w:val="006812A4"/>
    <w:rsid w:val="00697B29"/>
    <w:rsid w:val="006B59E0"/>
    <w:rsid w:val="007B4483"/>
    <w:rsid w:val="007C0333"/>
    <w:rsid w:val="007F4F7D"/>
    <w:rsid w:val="008B303E"/>
    <w:rsid w:val="00906D21"/>
    <w:rsid w:val="00997769"/>
    <w:rsid w:val="009E4D5A"/>
    <w:rsid w:val="009F1B82"/>
    <w:rsid w:val="00A37921"/>
    <w:rsid w:val="00AB0D44"/>
    <w:rsid w:val="00AF0152"/>
    <w:rsid w:val="00B43F4B"/>
    <w:rsid w:val="00BC17C1"/>
    <w:rsid w:val="00BF00D7"/>
    <w:rsid w:val="00D0798A"/>
    <w:rsid w:val="00D10E1D"/>
    <w:rsid w:val="00D84D7B"/>
    <w:rsid w:val="00DB03B7"/>
    <w:rsid w:val="00DF1276"/>
    <w:rsid w:val="00E27C76"/>
    <w:rsid w:val="00E736A9"/>
    <w:rsid w:val="00E74654"/>
    <w:rsid w:val="00EA3C57"/>
    <w:rsid w:val="00F42117"/>
    <w:rsid w:val="00F86F4C"/>
    <w:rsid w:val="00FD4B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6E98FE-78F2-4427-A089-58C76C55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DD4"/>
    <w:rPr>
      <w:lang w:val="es-ES"/>
    </w:rPr>
  </w:style>
  <w:style w:type="paragraph" w:styleId="Ttulo2">
    <w:name w:val="heading 2"/>
    <w:basedOn w:val="Normal"/>
    <w:next w:val="Normal"/>
    <w:link w:val="Ttulo2Car"/>
    <w:uiPriority w:val="9"/>
    <w:unhideWhenUsed/>
    <w:qFormat/>
    <w:rsid w:val="00AF0152"/>
    <w:pPr>
      <w:keepNext/>
      <w:keepLines/>
      <w:spacing w:before="40" w:after="0"/>
      <w:outlineLvl w:val="1"/>
    </w:pPr>
    <w:rPr>
      <w:rFonts w:asciiTheme="majorHAnsi" w:eastAsiaTheme="majorEastAsia" w:hAnsiTheme="majorHAnsi" w:cstheme="majorBidi"/>
      <w:color w:val="2E74B5"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1D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1DD4"/>
    <w:rPr>
      <w:lang w:val="es-ES"/>
    </w:rPr>
  </w:style>
  <w:style w:type="paragraph" w:styleId="Piedepgina">
    <w:name w:val="footer"/>
    <w:basedOn w:val="Normal"/>
    <w:link w:val="PiedepginaCar"/>
    <w:uiPriority w:val="99"/>
    <w:unhideWhenUsed/>
    <w:rsid w:val="00071D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1DD4"/>
    <w:rPr>
      <w:lang w:val="es-ES"/>
    </w:rPr>
  </w:style>
  <w:style w:type="table" w:styleId="Tablaconcuadrcula">
    <w:name w:val="Table Grid"/>
    <w:basedOn w:val="Tablanormal"/>
    <w:uiPriority w:val="39"/>
    <w:rsid w:val="00071DD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71DD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0152"/>
    <w:rPr>
      <w:lang w:val="es-ES"/>
    </w:rPr>
  </w:style>
  <w:style w:type="character" w:customStyle="1" w:styleId="Ttulo2Car">
    <w:name w:val="Título 2 Car"/>
    <w:basedOn w:val="Fuentedeprrafopredeter"/>
    <w:link w:val="Ttulo2"/>
    <w:uiPriority w:val="9"/>
    <w:rsid w:val="00AF0152"/>
    <w:rPr>
      <w:rFonts w:asciiTheme="majorHAnsi" w:eastAsiaTheme="majorEastAsia" w:hAnsiTheme="majorHAnsi" w:cstheme="majorBidi"/>
      <w:color w:val="2E74B5" w:themeColor="accent1" w:themeShade="BF"/>
      <w:sz w:val="26"/>
      <w:szCs w:val="2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F12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F1276"/>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F1276"/>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1514</Words>
  <Characters>8331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17</cp:revision>
  <dcterms:created xsi:type="dcterms:W3CDTF">2018-11-06T20:15:00Z</dcterms:created>
  <dcterms:modified xsi:type="dcterms:W3CDTF">2019-02-07T17:24:00Z</dcterms:modified>
</cp:coreProperties>
</file>